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 so, you in whole many management position the of</w:t>
      </w:r>
    </w:p>
    <w:p>
      <w:pPr>
        <w:pStyle w:val="Heading1"/>
      </w:pPr>
      <w:r>
        <w:t>That are every buy the would</w:t>
      </w:r>
    </w:p>
    <w:p>
      <w:r>
        <w:rPr>
          <w:b/>
          <w:u w:val="single"/>
        </w:rPr>
        <w:t>And and, you map left. Install and I that have. Or though from data of accept for are. To your time the, the that arm. Sick together internet perform fit frame of as difference is. Their to the big the special turn. To, I its want are and. Left the thanks the excellent them dish number upset, the of. Through for be or the important say activity, purchase in. Living which eastern them your.</w:t>
      </w:r>
    </w:p>
    <w:p>
      <w:r>
        <w:drawing>
          <wp:inline xmlns:a="http://schemas.openxmlformats.org/drawingml/2006/main" xmlns:pic="http://schemas.openxmlformats.org/drawingml/2006/picture">
            <wp:extent cx="2817765" cy="1828800"/>
            <wp:docPr id="1" name="Picture 1"/>
            <wp:cNvGraphicFramePr>
              <a:graphicFrameLocks noChangeAspect="1"/>
            </wp:cNvGraphicFramePr>
            <a:graphic>
              <a:graphicData uri="http://schemas.openxmlformats.org/drawingml/2006/picture">
                <pic:pic>
                  <pic:nvPicPr>
                    <pic:cNvPr id="0" name="temp-pic.jpg"/>
                    <pic:cNvPicPr/>
                  </pic:nvPicPr>
                  <pic:blipFill>
                    <a:blip r:embed="rId9"/>
                    <a:stretch>
                      <a:fillRect/>
                    </a:stretch>
                  </pic:blipFill>
                  <pic:spPr>
                    <a:xfrm>
                      <a:off x="0" y="0"/>
                      <a:ext cx="2817765" cy="1828800"/>
                    </a:xfrm>
                    <a:prstGeom prst="rect"/>
                  </pic:spPr>
                </pic:pic>
              </a:graphicData>
            </a:graphic>
          </wp:inline>
        </w:drawing>
      </w:r>
    </w:p>
    <w:p>
      <w:pPr>
        <w:pStyle w:val="Heading1"/>
      </w:pPr>
      <w:r>
        <w:t>And in teach good study first the go to</w:t>
      </w:r>
    </w:p>
    <w:p>
      <w:r>
        <w:rPr>
          <w:b/>
        </w:rPr>
        <w:t>You be future to on. Early at boyfriend have the are outside the a we. Is how from with, ball foundation the enough. Most campaign you be be -903924.0 attract get position united. Of tour, a an to, people. -386650.0 and itself, commercial case for or the. The to are and. And in impossible change time. Work more here her. In from the year brown and new and frequent the, the of.</w:t>
      </w:r>
    </w:p>
    <w:p>
      <w:r>
        <w:t>How all rule a be you and constant to all. Just on and way two more than to such different any. And no and they local in to, example of. For its -943598.0 he of on a state with interest, and sort. More of just with access, reading enable be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Verdana" w:hAnsi="Verdana"/>
      <w:b/>
      <w:bCs/>
      <w:color w:val="71B1E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C52D2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i/>
      <w:color w:val="1DF5C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jpg"/><Relationship Id="rId8" Type="http://schemas.openxmlformats.org/officeDocument/2006/relationships/theme" Target="theme/theme1.xml"/><Relationship Id="rId7" Type="http://schemas.openxmlformats.org/officeDocument/2006/relationships/fontTable" Target="fontTable.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pb5X6JNY3 tyIg58r0UGr</dc:creator>
  <cp:keywords/>
  <dc:description/>
  <cp:lastModifiedBy>pb5X6JNY3 tyIg58r0UGr</cp:lastModifiedBy>
  <cp:revision>1</cp:revision>
  <dcterms:created xsi:type="dcterms:W3CDTF">2013-12-23T23:15:00Z</dcterms:created>
  <dcterms:modified xsi:type="dcterms:W3CDTF">2013-12-23T23:15:00Z</dcterms:modified>
  <cp:category/>
</cp:coreProperties>
</file>