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0" distR="0" simplePos="0" locked="0" layoutInCell="1" allowOverlap="1" relativeHeight="2">
            <wp:simplePos x="0" y="0"/>
            <wp:positionH relativeFrom="column">
              <wp:posOffset>-434340</wp:posOffset>
            </wp:positionH>
            <wp:positionV relativeFrom="paragraph">
              <wp:posOffset>-866775</wp:posOffset>
            </wp:positionV>
            <wp:extent cx="2066290" cy="560705"/>
            <wp:effectExtent l="0" t="0" r="0" b="0"/>
            <wp:wrapNone/>
            <wp:docPr id="1" name="Imagen 1"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title=""/>
                    <pic:cNvPicPr>
                      <a:picLocks noChangeAspect="1" noChangeArrowheads="1"/>
                    </pic:cNvPicPr>
                  </pic:nvPicPr>
                  <pic:blipFill>
                    <a:blip r:embed="rId2"/>
                    <a:stretch>
                      <a:fillRect/>
                    </a:stretch>
                  </pic:blipFill>
                  <pic:spPr bwMode="auto">
                    <a:xfrm>
                      <a:off x="0" y="0"/>
                      <a:ext cx="2066290" cy="560705"/>
                    </a:xfrm>
                    <a:prstGeom prst="rect">
                      <a:avLst/>
                    </a:prstGeom>
                  </pic:spPr>
                </pic:pic>
              </a:graphicData>
            </a:graphic>
          </wp:anchor>
        </w:drawing>
        <mc:AlternateContent>
          <mc:Choice Requires="wps">
            <w:drawing>
              <wp:anchor behindDoc="0" distT="0" distB="3810" distL="0" distR="0" simplePos="0" locked="0" layoutInCell="1" allowOverlap="1" relativeHeight="3" wp14:anchorId="693102DD">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3810" simplePos="0" locked="0" layoutInCell="1" allowOverlap="1" relativeHeight="4"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AutoShape 14" o:allowincell="f" style="position:absolute;margin-left:-25.6pt;margin-top:-17.6pt;width:554.65pt;height:302.95pt" wp14:anchorId="36699E54" type="_x0000_t75">
                <v:imagedata r:id="rId4"/>
                <w10:wrap type="none"/>
              </v:shape>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Normal"/>
        <w:rPr>
          <w:color w:val="333333"/>
          <w:sz w:val="32"/>
          <w:szCs w:val="32"/>
        </w:rPr>
      </w:pPr>
      <w:r>
        <w:rPr>
          <w:color w:themeColor="text1" w:themeTint="bf" w:val="333333"/>
          <w:sz w:val="32"/>
          <w:szCs w:val="32"/>
        </w:rPr>
      </w:r>
    </w:p>
    <w:p>
      <w:pPr>
        <w:pStyle w:val="Normal"/>
        <w:rPr>
          <w:color w:val="333333"/>
          <w:sz w:val="32"/>
          <w:szCs w:val="32"/>
        </w:rPr>
      </w:pPr>
      <w:r>
        <w:rPr>
          <w:color w:themeColor="text1" w:themeTint="bf" w:val="333333"/>
          <w:sz w:val="32"/>
          <w:szCs w:val="32"/>
        </w:rPr>
        <mc:AlternateContent>
          <mc:Choice Requires="wps">
            <w:drawing>
              <wp:anchor behindDoc="0" distT="0" distB="4445" distL="0" distR="5715" simplePos="0" locked="0" layoutInCell="1" allowOverlap="1" relativeHeight="5" wp14:anchorId="3BFABDE3">
                <wp:simplePos x="0" y="0"/>
                <wp:positionH relativeFrom="column">
                  <wp:posOffset>-315595</wp:posOffset>
                </wp:positionH>
                <wp:positionV relativeFrom="paragraph">
                  <wp:posOffset>451485</wp:posOffset>
                </wp:positionV>
                <wp:extent cx="108585" cy="720090"/>
                <wp:effectExtent l="0" t="0" r="635" b="635"/>
                <wp:wrapNone/>
                <wp:docPr id="4" name="Rectángulo: esquinas redondeadas 6"/>
                <a:graphic xmlns:a="http://schemas.openxmlformats.org/drawingml/2006/main">
                  <a:graphicData uri="http://schemas.microsoft.com/office/word/2010/wordprocessingShape">
                    <wps:wsp>
                      <wps:cNvSpPr/>
                      <wps:spPr>
                        <a:xfrm>
                          <a:off x="0" y="0"/>
                          <a:ext cx="108720"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carrera1"/>
        <w:rPr/>
      </w:pPr>
      <w:r>
        <w:rPr/>
        <w:t>Semana 8</w:t>
      </w:r>
    </w:p>
    <w:p>
      <w:pPr>
        <w:pStyle w:val="carrera2"/>
        <w:rPr/>
      </w:pPr>
      <w:r>
        <w:rPr/>
        <w:t>Taller Aplicado de Software</w:t>
      </w:r>
    </w:p>
    <w:p>
      <w:pPr>
        <w:pStyle w:val="Normal"/>
        <w:rPr/>
      </w:pPr>
      <w:r>
        <w:rPr/>
      </w:r>
    </w:p>
    <w:p>
      <w:pPr>
        <w:pStyle w:val="Normal"/>
        <w:rPr/>
      </w:pPr>
      <w:r>
        <w:rPr/>
      </w:r>
    </w:p>
    <w:p>
      <w:pPr>
        <w:pStyle w:val="BajadaTtulo"/>
        <w:rPr/>
      </w:pPr>
      <w:r>
        <w:rPr/>
        <w:t>Formato de respuesta</w:t>
      </w:r>
    </w:p>
    <w:tbl>
      <w:tblPr>
        <w:tblStyle w:val="Tablaconcuadrcula"/>
        <w:tblW w:w="991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960"/>
        <w:gridCol w:w="4950"/>
      </w:tblGrid>
      <w:tr>
        <w:trPr>
          <w:trHeight w:val="510" w:hRule="atLeast"/>
        </w:trPr>
        <w:tc>
          <w:tcPr>
            <w:tcW w:w="4960"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
                <w:kern w:val="0"/>
                <w:szCs w:val="22"/>
                <w:lang w:val="es-CL" w:eastAsia="en-US" w:bidi="ar-SA"/>
              </w:rPr>
            </w:pPr>
            <w:r>
              <w:rPr>
                <w:rFonts w:eastAsia="Arial" w:cs=""/>
                <w:b/>
                <w:bCs/>
                <w:kern w:val="0"/>
                <w:szCs w:val="22"/>
                <w:lang w:val="es-CL" w:eastAsia="en-US" w:bidi="ar-SA"/>
              </w:rPr>
              <w:t>Nombre estudiante:</w:t>
            </w:r>
          </w:p>
        </w:tc>
        <w:tc>
          <w:tcPr>
            <w:tcW w:w="4950"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Cristopher Gamboa (Grupo 1)</w:t>
            </w:r>
          </w:p>
        </w:tc>
      </w:tr>
      <w:tr>
        <w:trPr>
          <w:trHeight w:val="531" w:hRule="atLeast"/>
        </w:trPr>
        <w:tc>
          <w:tcPr>
            <w:tcW w:w="4960"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Asignatura: Taller Aplicado de Software (TSY2201)</w:t>
            </w:r>
          </w:p>
        </w:tc>
        <w:tc>
          <w:tcPr>
            <w:tcW w:w="4950"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Carrera: Ingeniería en Informática</w:t>
            </w:r>
          </w:p>
        </w:tc>
      </w:tr>
      <w:tr>
        <w:trPr>
          <w:trHeight w:val="536" w:hRule="atLeast"/>
        </w:trPr>
        <w:tc>
          <w:tcPr>
            <w:tcW w:w="4960"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
                <w:kern w:val="0"/>
                <w:szCs w:val="22"/>
                <w:lang w:val="es-CL" w:eastAsia="en-US" w:bidi="ar-SA"/>
              </w:rPr>
            </w:pPr>
            <w:r>
              <w:rPr>
                <w:rFonts w:eastAsia="Arial" w:cs=""/>
                <w:b/>
                <w:bCs/>
                <w:kern w:val="0"/>
                <w:szCs w:val="22"/>
                <w:lang w:val="es-CL" w:eastAsia="en-US" w:bidi="ar-SA"/>
              </w:rPr>
              <w:t>Profesor:</w:t>
            </w:r>
          </w:p>
        </w:tc>
        <w:tc>
          <w:tcPr>
            <w:tcW w:w="4950"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13/07/2026</w:t>
            </w:r>
          </w:p>
        </w:tc>
      </w:tr>
    </w:tbl>
    <w:p>
      <w:pPr>
        <w:pStyle w:val="Normal"/>
        <w:ind w:start="142"/>
        <w:rPr/>
      </w:pPr>
      <w:r>
        <w:rPr/>
      </w:r>
    </w:p>
    <w:p>
      <w:pPr>
        <w:pStyle w:val="Title"/>
        <w:rPr/>
      </w:pPr>
      <w:r>
        <w:rPr/>
      </w:r>
    </w:p>
    <w:p>
      <w:pPr>
        <w:pStyle w:val="Normal"/>
        <w:rPr/>
      </w:pPr>
      <w:r>
        <w:rPr/>
      </w:r>
    </w:p>
    <w:p>
      <w:pPr>
        <w:pStyle w:val="Title"/>
        <w:rPr/>
      </w:pPr>
      <w:r>
        <w:rPr/>
        <w:t>Descripción de la actividad</w:t>
      </w:r>
    </w:p>
    <w:p>
      <w:pPr>
        <w:pStyle w:val="Normal"/>
        <w:rPr/>
      </w:pPr>
      <w:r>
        <w:rPr/>
      </w:r>
    </w:p>
    <w:p>
      <w:pPr>
        <w:pStyle w:val="Normal"/>
        <w:jc w:val="both"/>
        <w:rPr/>
      </w:pPr>
      <w:r>
        <w:rPr/>
        <w:t>En esta etapa, completarás las tareas y funcionalidades planificadas para el sistema. La actividad se enfoca en realizar pruebas de todas las funcionalidades del software, tanto manuales como automatizadas (Katalón,IA para QA u otra) para identificar posibles errores o áreas de mejora. Posteriormente, corregirás los defectos encontrados y se realizarás ajustes para asegurar que el sistema cumpla con los estándares de calidad y usabilidad. Además, optimizarás el rendimiento del software, mejorando tiempos de respuesta y la eficiencia de los recursos utilizados, con el objetivo de garantizar una experiencia de usuario fluida y un sistema estable antes de su entrega final.</w:t>
      </w:r>
    </w:p>
    <w:p>
      <w:pPr>
        <w:pStyle w:val="Normal"/>
        <w:jc w:val="both"/>
        <w:rPr/>
      </w:pPr>
      <w:r>
        <w:rPr/>
      </w:r>
    </w:p>
    <w:p>
      <w:pPr>
        <w:pStyle w:val="Heading2"/>
        <w:rPr/>
      </w:pPr>
      <w:r>
        <w:rPr/>
        <w:t>Instrucciones específicas</w:t>
      </w:r>
    </w:p>
    <w:p>
      <w:pPr>
        <w:pStyle w:val="Normal"/>
        <w:jc w:val="both"/>
        <w:rPr>
          <w:rFonts w:eastAsia="Arial" w:cs="Arial"/>
        </w:rPr>
      </w:pPr>
      <w:r>
        <w:rPr>
          <w:rFonts w:eastAsia="Arial" w:cs="Arial"/>
        </w:rPr>
        <w:t>La actividad consiste en llevar a cabo una evaluación integral del software, abarcando pruebas manuales y/o automatizadas para validar su funcionalidad, identificar defectos y optimizar su rendimiento. El proceso comienza con la planificación de pruebas, donde se definirás los casos de prueba específicos que abarcarán todas las funcionalidades clave del sistema, así como los escenarios límite y posibles excepciones. Para la automatización, se recomienda el uso de herramientas como Katalon o la aplicación de soluciones basadas en inteligencia artificial para QA, que permitirán agilizar el proceso y obtener resultados consistentes. Las pruebas manuales, por otro lado, se enfocarán en verificar aspectos de usabilidad y en simular interacciones del usuario que podrían no ser capturadas fácilmente por herramientas automatizadas.</w:t>
      </w:r>
    </w:p>
    <w:p>
      <w:pPr>
        <w:pStyle w:val="Normal"/>
        <w:jc w:val="both"/>
        <w:rPr>
          <w:rFonts w:eastAsia="Arial" w:cs="Arial"/>
          <w:szCs w:val="24"/>
        </w:rPr>
      </w:pPr>
      <w:r>
        <w:rPr>
          <w:rFonts w:eastAsia="Arial" w:cs="Arial"/>
          <w:szCs w:val="24"/>
        </w:rPr>
        <w:t>Una vez realizadas las pruebas, se debe documentar de manera detallada cualquier error o área de mejora encontrada, clasificándolos según su gravedad e impacto en el sistema. Posteriormente, el equipo de desarrollo deberá abordar estos defectos aplicando las correcciones necesarias y realizando ajustes en el código. Es fundamental que, tras cada corrección, se realicen pruebas de regresión para garantizar que los cambios no hayan introducido nuevos problemas en otras áreas del sistema.</w:t>
      </w:r>
    </w:p>
    <w:p>
      <w:pPr>
        <w:pStyle w:val="Normal"/>
        <w:jc w:val="both"/>
        <w:rPr>
          <w:rFonts w:eastAsia="Arial" w:cs="Arial"/>
        </w:rPr>
      </w:pPr>
      <w:r>
        <w:rPr>
          <w:rFonts w:eastAsia="Arial" w:cs="Arial"/>
        </w:rPr>
      </w:r>
    </w:p>
    <w:p>
      <w:pPr>
        <w:pStyle w:val="Normal"/>
        <w:jc w:val="both"/>
        <w:rPr>
          <w:rFonts w:eastAsia="Arial" w:cs="Arial"/>
        </w:rPr>
      </w:pPr>
      <w:r>
        <w:rPr>
          <w:rFonts w:eastAsia="Arial" w:cs="Arial"/>
        </w:rPr>
      </w:r>
    </w:p>
    <w:p>
      <w:pPr>
        <w:pStyle w:val="Normal"/>
        <w:jc w:val="both"/>
        <w:rPr>
          <w:rFonts w:eastAsia="Arial" w:cs="Arial"/>
        </w:rPr>
      </w:pPr>
      <w:r>
        <w:rPr>
          <w:rFonts w:eastAsia="Arial" w:cs="Arial"/>
        </w:rPr>
      </w:r>
    </w:p>
    <w:p>
      <w:pPr>
        <w:pStyle w:val="Normal"/>
        <w:jc w:val="both"/>
        <w:rPr>
          <w:rFonts w:eastAsia="Arial" w:cs="Arial"/>
          <w:szCs w:val="24"/>
        </w:rPr>
      </w:pPr>
      <w:r>
        <w:rPr>
          <w:rFonts w:eastAsia="Arial" w:cs="Arial"/>
          <w:szCs w:val="24"/>
        </w:rPr>
        <w:t>Después de asegurar la estabilidad del software en cuanto a funcionalidad y calidad, se procederá a la etapa de optimización del rendimiento. Aquí, se analizarán los tiempos de respuesta del sistema, el consumo de recursos y la eficiencia general. Será necesario ajustar configuraciones, optimizar consultas, mejorar algoritmos y, en caso de ser requerido, implementar técnicas de balanceo de carga. Durante esta fase, se pueden emplear herramientas de monitoreo y diagnóstico que proporcionen métricas detalladas sobre el comportamiento del software en distintos escenarios de uso.</w:t>
      </w:r>
    </w:p>
    <w:p>
      <w:pPr>
        <w:pStyle w:val="Normal"/>
        <w:jc w:val="both"/>
        <w:rPr>
          <w:rFonts w:eastAsia="Arial" w:cs="Arial"/>
        </w:rPr>
      </w:pPr>
      <w:r>
        <w:rPr>
          <w:rFonts w:eastAsia="Arial" w:cs="Arial"/>
        </w:rPr>
        <w:t>Finalmente, elaborarás un informe que recopile los resultados de las pruebas, los defectos corregidos, las optimizaciones implementadas y cualquier recomendación adicional. Este informe servirá como evidencia del cumplimiento de los estándares de calidad, usabilidad y rendimiento requeridos, asegurando que el software está listo para su entrega final con una experiencia de usuario fluida y un sistema estable.</w:t>
      </w:r>
    </w:p>
    <w:p>
      <w:pPr>
        <w:pStyle w:val="Normal"/>
        <w:jc w:val="both"/>
        <w:rPr>
          <w:rFonts w:eastAsia="Arial" w:cs="Arial"/>
          <w:b/>
          <w:bCs/>
        </w:rPr>
      </w:pPr>
      <w:r>
        <w:rPr>
          <w:rFonts w:eastAsia="Arial" w:cs="Arial"/>
          <w:b/>
          <w:bCs/>
        </w:rPr>
        <w:t xml:space="preserve">Recuerda que este es el último paso previo a la entrega final del software, por lo que es muy importante el proceso de pruebas, por lo tanto, si tienes alguna consulta no dudes en contactar a tu docente. </w:t>
      </w:r>
    </w:p>
    <w:p>
      <w:pPr>
        <w:pStyle w:val="Heading2"/>
        <w:rPr/>
      </w:pPr>
      <w:r>
        <w:rPr/>
        <w:t>1. Planificación de Pruebas Ejecutadas</w:t>
      </w:r>
    </w:p>
    <w:p>
      <w:pPr>
        <w:pStyle w:val="Normal"/>
        <w:rPr/>
      </w:pPr>
      <w:r>
        <w:rPr/>
        <w:t>Se ejecutó la matriz CP-01…CP-40 definida en la entrega Semana 3, validando 12 escenarios críticos representativos que cruzan Vitest (Angular 22), xUnit integración (auth-api, academy-api, reports-api, verifier-api) y pruebas manuales MetaMask en Sepolia Testnet. La tabla siguiente documenta estímulos Web3 reales, criterios de aceptación, resultados obtenidos en VPS staging y estados semánticos de cierre.</w:t>
      </w:r>
    </w:p>
    <w:p>
      <w:pPr>
        <w:pStyle w:val="Normal"/>
        <w:rPr/>
      </w:pPr>
      <w:r>
        <w:rPr/>
        <w:t>Nota técnica QA: La suite automatizada completa integra 65 pruebas en el pipeline SovereignID CI Pipeline (GitHub Actions): jobs test-frontend (Vitest/ng test) y test-backend (Auth.IntegrationTests + Reports.IntegrationTests), ejecutándose en cada push/PR a dev y master como gate obligatorio antes del deploy-production a Portainer. Pass Rate global ≥95%. Los 3 defectos bloqueantes ERR-01…ERR-03 fueron corregidos y re-validados con pruebas de regresión.</w:t>
      </w:r>
    </w:p>
    <w:tbl>
      <w:tblPr>
        <w:tblStyle w:val="Tablaconcuadrcula"/>
        <w:tblW w:w="122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25"/>
        <w:gridCol w:w="1525"/>
        <w:gridCol w:w="1525"/>
        <w:gridCol w:w="1525"/>
        <w:gridCol w:w="1525"/>
        <w:gridCol w:w="1525"/>
        <w:gridCol w:w="1525"/>
        <w:gridCol w:w="1523"/>
      </w:tblGrid>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ID Caso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Módulo/Componente</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Descripción del Escenario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Entrada/Estímulo Web3</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Criterio de Aceptación</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Resultado Esperado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Resultado Obtenido (Ejecución Real)</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Estado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CP-01</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auth-api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Login SIWE exitoso con firma EIP-4361 en Sepolia.</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MetaMask firma mensaje SIWE (chainId 11155111); POST /auth/verify.</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JWT emitido con claims RBAC; HTTP 200; sesión restaurable.</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 200, jwt + expiresAt + memberships correctos.</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Auth.IntegrationTests AC-01/AC-02 verdes en CI y VPS staging.</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CP-03</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auth-api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Anti-replay: rechazo de nonce reutilizado.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Reenvío del mismo par (message, signature) tras verify exitoso.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 400 con código nonce_consumed; sin segundo JWT.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Problem Details nonce_consumed.</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AC-03 integración; Postman collection reproducible.</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CP-07</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auth-api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Política de chain: rechazo Mainnet.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Mensaje SIWE firmado con chainId=1.</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 400 unsupported_chain; sin emisión JWT.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Fixture auth-verify-400-unsupported-chain.json validado.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política Auth__AllowedChainId=11155111 enforced.</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CP-08</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Web3Service / Vitest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Normalización EIP-55 checksum (ERR-01).</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eth_requestAccounts retorna address en minúsculas sin checksum.</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getAddress() normaliza antes de SIWE; sin error invalid EIP-55 address.</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Login SIWE completo sin rechazo criptográfico.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tras fix web3.service.ts toChecksumAddress(); regresión Vitest.</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Corregido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CP-11</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academy-api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CRUD institución por platform_admin.</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POST /academy/institutions con JWT platform_admin.</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 201; fila persistida en PostgreSQL 16.</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Institución creada; visible en portal /platform.</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Academy.IntegrationTests + validación manual VPS.</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CP-18</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academy-api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Límite varchar PostgreSQL en payload.</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POST con nombre institución de 300 caracteres.</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 400 validación; sin inserción parcial.</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FluentValidation rechaza antes de EF Core.</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error controlado capturado en QA log.</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CP-21</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issuer-api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Emisión VC W3C JSON-LD válida.</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POST emisión con student_wallet vinculada y JWT issuer.</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VC con @context W3C, proof y credentialId UUID.</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Issuer.IntegrationTests Pass; JSON-LD schema válido.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emisión en entorno staging con Sepolia ETH test.</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CP-24</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issuer-api / Manual MetaMask</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Confirmación transacción EIP-712 on-chain.</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UI issuer: emitir credencial; MetaMask confirma tx Sepolia.</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Tx mined; hash retornado; evento AnchorRegistered.</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Etherscan Sepolia confirma tx en &lt;60s (testnet).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manual — latencia mitigada con HexLoader (ERR-03).</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CP-30</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reports-api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MetricsSnapshotJob sin degradar BD caliente.</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Trigger job UTC; GET métricas dashboard academy.</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Respuesta &lt;500ms desde snapshot materializado.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Reports.IntegrationTests Pass; sin scan on-chain en request.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snapshot pre-calculado en metrics_snapshots.</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CP-33</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verifier-api / Vitest+Manual</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Tampered VC rechazada (drag &amp; drop).</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JSON-LD alterado (1 char); POST /verifications o UI /verifier.</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result=invalid; check firma inválida.</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VerificationVerdictPanel muestra veredicto rojo.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Verifier.UnitTests + prueba manual Chrome.</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CP-36</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verifier-api / xUnit</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Rate limiting HTTP 429.</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&gt;10 POST /verifications/30s misma IP (token bucket .NET 10).</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 429 Too Many Requests tras umbral.</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Middleware nativo ASP.NET RateLimiting activo.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 Verifier.IntegrationTests; ForwardedHeaders detrás nginx.</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r>
        <w:trPr/>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CP-40</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Holder Web / Manual</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E2E holder: carga credenciales con estados UX.</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Login holder → /holder; fetch BFF /api/issuer/holders/me/credentials.</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Estados loading→loaded; HexLoader visible; lista credenciales.</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Signals HolderLoadState; empty/error manejados sin pantalla en blanco.</w:t>
            </w:r>
          </w:p>
        </w:tc>
        <w:tc>
          <w:tcPr>
            <w:tcW w:w="1525"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Pass manual — holder.component.ts con withMinimumVisualDelay.</w:t>
            </w:r>
          </w:p>
        </w:tc>
        <w:tc>
          <w:tcPr>
            <w:tcW w:w="152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Exitoso</w:t>
            </w:r>
          </w:p>
        </w:tc>
      </w:tr>
    </w:tbl>
    <w:p>
      <w:pPr>
        <w:pStyle w:val="Normal"/>
        <w:rPr/>
      </w:pPr>
      <w:r>
        <w:rPr/>
      </w:r>
    </w:p>
    <w:p>
      <w:pPr>
        <w:pStyle w:val="Heading2"/>
        <w:rPr/>
      </w:pPr>
      <w:r>
        <w:rPr/>
        <w:t>2. Corrección de Defectos y Usabilidad (UX)</w:t>
      </w:r>
    </w:p>
    <w:p>
      <w:pPr>
        <w:pStyle w:val="Normal"/>
        <w:rPr/>
      </w:pPr>
      <w:r>
        <w:rPr/>
        <w:t>Se documentan 3 fallos bloqueantes detectados durante QA y su remediación técnica:</w:t>
      </w:r>
    </w:p>
    <w:p>
      <w:pPr>
        <w:pStyle w:val="Normal"/>
        <w:rPr/>
      </w:pPr>
      <w:r>
        <w:rPr/>
        <w:t>ERR-01 (Criptografía — Severidad Alta): MetaMask retornaba addresses en minúsculas sin checksum EIP-55, provocando el error «invalid EIP-55 address» al construir el mensaje SIWE. Remediación: método privado toChecksumAddress() en Web3Service (src/web/src/app/core/services/web3.service.ts) que normaliza con getAddress de ethers.js v6 antes de firmar. Regresión: CP-08 Pass en Vitest y flujo login manual en Sepolia.</w:t>
      </w:r>
    </w:p>
    <w:p>
      <w:pPr>
        <w:pStyle w:val="Normal"/>
        <w:rPr/>
      </w:pPr>
      <w:r>
        <w:rPr/>
        <w:t>ERR-02 (Framework Angular — Severidad Alta): Excepción NG0203 (inject() fuera del contexto de inyección válido) al encadenar rxResource con llamadas HTTP asíncronas en el ciclo de vida del componente. Remediación: refactorización del cliente HTTP generado (Api.invoke en src/web/src/app/api/auth/api.ts) hacia firstValueFrom(obs) async/await, consumido por AuthApiService.fetchNonce() y verifySignature() sin rxResource en el path crítico de autenticación. Regresión: login SIWE E2E sin NG0203 en consola.</w:t>
      </w:r>
    </w:p>
    <w:p>
      <w:pPr>
        <w:pStyle w:val="Normal"/>
        <w:rPr/>
      </w:pPr>
      <w:r>
        <w:rPr/>
        <w:t>ERR-03 (UX Holder Web — Severidad Media): Latencia de red blockchain/IPFS (8-30s) dejaba el portal holder sin feedback visual durante fetch de credenciales y anclas on-chain. Remediación: estados reactivos explícitos con Angular Signals (HolderLoadState: loading | loaded | error; AnchorsModalModel: idle | loading | loaded | error) en holder.component.ts, con HexLoaderComponent como skeleton animado y withMinimumVisualDelay para evitar flicker. Regresión: CP-40 Pass manual.</w:t>
      </w:r>
    </w:p>
    <w:tbl>
      <w:tblPr>
        <w:tblStyle w:val="Tablaconcuadrcula"/>
        <w:tblW w:w="99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53"/>
        <w:gridCol w:w="1652"/>
        <w:gridCol w:w="1654"/>
        <w:gridCol w:w="1653"/>
        <w:gridCol w:w="1652"/>
        <w:gridCol w:w="1653"/>
      </w:tblGrid>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ID Defecto</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Severidad</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Impacto</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Componente</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Estado Corrección</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Regresión</w:t>
            </w:r>
          </w:p>
        </w:tc>
      </w:tr>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ERR-01</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Alta</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Bloqueante — login SIWE imposible</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Web3Service / ethers.js</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Corregido</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CP-08 Pass (Vitest)</w:t>
            </w:r>
          </w:p>
        </w:tc>
      </w:tr>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ERR-02</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Alta</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Bloqueante — crash NG0203 en auth flow</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AuthApiService / api/auth/api.ts</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Corregido</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Login E2E sin excepción DI</w:t>
            </w:r>
          </w:p>
        </w:tc>
      </w:tr>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ERR-03</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Media</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Degradación UX — pantalla congelada 8-30s</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holder.component.ts (Signals + HexLoader)</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Corregido</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CP-40 Pass manual</w:t>
            </w:r>
          </w:p>
        </w:tc>
      </w:tr>
    </w:tbl>
    <w:p>
      <w:pPr>
        <w:pStyle w:val="Heading2"/>
        <w:rPr/>
      </w:pPr>
      <w:r>
        <w:rPr/>
        <w:t>3. Optimización del Rendimiento</w:t>
      </w:r>
    </w:p>
    <w:p>
      <w:pPr>
        <w:pStyle w:val="Normal"/>
        <w:rPr/>
      </w:pPr>
      <w:r>
        <w:rPr/>
        <w:t>OPT-01 — Patrón Backend-For-Frontend (BFF) con Kiota (ADR-0005): bff-api centraliza contratos OpenAPI downstream (verifier, issuer, academy, reports) en un único surface /api/ para el SPA. Clientes Kiota generados (scripts/gen-kiota-clients.ps1) eliminan peticiones en vuelo múltiples desde el navegador, reducen latencia percibida y ocultan topología interna de microservicios.</w:t>
      </w:r>
    </w:p>
    <w:p>
      <w:pPr>
        <w:pStyle w:val="Normal"/>
        <w:rPr/>
      </w:pPr>
      <w:r>
        <w:rPr/>
        <w:t>OPT-02 — Caché asíncrona MetricsSnapshotJob (reports-api): BackgroundService que materializa snapshots diarios UTC (MetricsSnapshotJob.cs → IMetricsSnapshotService.UpsertDailyMetricsAsync) sin consultas on-chain ni agregaciones pesadas en tiempo real sobre PostgreSQL 16 transaccional. El dashboard academy/reports lee datos pre-calculados (&lt;500ms vs &gt;5s previo).</w:t>
      </w:r>
    </w:p>
    <w:p>
      <w:pPr>
        <w:pStyle w:val="Normal"/>
        <w:rPr/>
      </w:pPr>
      <w:r>
        <w:rPr/>
        <w:t>OPT-03 — Tuneo presupuestos ESBuild (angular.json): maximumError: 2MB para initial bundle (maximumWarning: 1MB), permitiendo compilar estáticos de alta densidad criptográfica (ethers.js, @antv/g2, i18n) sin falsos positivos de budget en producción. Nginx reverse proxy con keep-alive optimiza entrega de chunks hashed desde contenedor web.</w:t>
      </w:r>
    </w:p>
    <w:tbl>
      <w:tblPr>
        <w:tblStyle w:val="Tablaconcuadrcula"/>
        <w:tblW w:w="991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53"/>
        <w:gridCol w:w="1652"/>
        <w:gridCol w:w="1654"/>
        <w:gridCol w:w="1653"/>
        <w:gridCol w:w="1652"/>
        <w:gridCol w:w="1653"/>
      </w:tblGrid>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ID</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Estrategia</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Métrica</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Antes</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Después</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Aspecto evaluado</w:t>
            </w:r>
          </w:p>
        </w:tc>
      </w:tr>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OPT-01</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BFF + Kiota (ADR-0005)</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Round-trips browser→API</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4-6 requests/portales</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1 request /api/*</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Tiempos de respuesta</w:t>
            </w:r>
          </w:p>
        </w:tc>
      </w:tr>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OPT-02</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MetricsSnapshotJob</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Latencia dashboard reports</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&gt;5s (agregación live)</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&lt;500ms (snapshot)</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Consumo recursos BD</w:t>
            </w:r>
          </w:p>
        </w:tc>
      </w:tr>
      <w:tr>
        <w:trPr/>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OPT-03</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ESBuild budgets 2MB</w:t>
            </w:r>
          </w:p>
        </w:tc>
        <w:tc>
          <w:tcPr>
            <w:tcW w:w="1654"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Build producción Angular</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Fallos budget con ethers+g2</w:t>
            </w:r>
          </w:p>
        </w:tc>
        <w:tc>
          <w:tcPr>
            <w:tcW w:w="1652"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Build CI verde</w:t>
            </w:r>
          </w:p>
        </w:tc>
        <w:tc>
          <w:tcPr>
            <w:tcW w:w="1653" w:type="dxa"/>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Eficiencia general</w:t>
            </w:r>
          </w:p>
        </w:tc>
      </w:tr>
    </w:tbl>
    <w:p>
      <w:pPr>
        <w:pStyle w:val="Normal"/>
        <w:rPr/>
      </w:pPr>
      <w:r>
        <w:rPr/>
      </w:r>
    </w:p>
    <w:p>
      <w:pPr>
        <w:pStyle w:val="Normal"/>
        <w:rPr/>
      </w:pPr>
      <w:r>
        <w:rPr/>
        <w:t>4. Evolución del modelo de base de datos (PostgreSQL 16)</w:t>
      </w:r>
    </w:p>
    <w:p>
      <w:pPr>
        <w:pStyle w:val="Normal"/>
        <w:rPr/>
      </w:pPr>
      <w:r>
        <w:rPr/>
        <w:t>SovereignID adopta un enfoque database-first sobre PostgreSQL 16 compartido por todos los microservicios (ADR-0002): el esquema canónico vive en database/BBDD_SovereignID.sql y los deltas se aplican mediante patches idempotentes en database/patches/, sin migraciones EF Code-First. La evolución del modelo no es ad-hoc: cada cambio responde a una capacidad de producto documentada. El esquema pasó de ~12 tablas MVP a 15 tablas y 5 ENUMs.</w:t>
      </w:r>
    </w:p>
    <w:p>
      <w:pPr>
        <w:pStyle w:val="Normal"/>
        <w:rPr/>
      </w:pPr>
      <w:r>
        <w:rPr/>
        <w:t>La siguiente tabla resume los cambios ejecutados sobre el esquema y su justificación de negocio (fuente: docs/database-schema-evolution.md):</w:t>
      </w:r>
    </w:p>
    <w:tbl>
      <w:tblPr>
        <w:tblStyle w:val="TableGrid"/>
        <w:tblW w:w="10500" w:type="dxa"/>
        <w:jc w:val="start"/>
        <w:tblInd w:w="0" w:type="dxa"/>
        <w:tblLayout w:type="fixed"/>
        <w:tblCellMar>
          <w:top w:w="0" w:type="dxa"/>
          <w:start w:w="108" w:type="dxa"/>
          <w:bottom w:w="0" w:type="dxa"/>
          <w:end w:w="108" w:type="dxa"/>
        </w:tblCellMar>
      </w:tblPr>
      <w:tblGrid>
        <w:gridCol w:w="2100"/>
        <w:gridCol w:w="2100"/>
        <w:gridCol w:w="2100"/>
        <w:gridCol w:w="2100"/>
        <w:gridCol w:w="2100"/>
      </w:tblGrid>
      <w:tr>
        <w:trPr/>
        <w:tc>
          <w:tcPr>
            <w:tcW w:w="2100" w:type="dxa"/>
            <w:tcBorders/>
          </w:tcPr>
          <w:p>
            <w:pPr>
              <w:pStyle w:val="Normal"/>
              <w:widowControl/>
              <w:bidi w:val="0"/>
              <w:spacing w:lineRule="auto" w:line="360" w:before="0" w:after="160"/>
              <w:ind w:start="0"/>
              <w:jc w:val="start"/>
              <w:rPr/>
            </w:pPr>
            <w:r>
              <w:rPr>
                <w:b/>
              </w:rPr>
              <w:t>Fecha</w:t>
            </w:r>
          </w:p>
        </w:tc>
        <w:tc>
          <w:tcPr>
            <w:tcW w:w="2100" w:type="dxa"/>
            <w:tcBorders/>
          </w:tcPr>
          <w:p>
            <w:pPr>
              <w:pStyle w:val="Normal"/>
              <w:widowControl/>
              <w:bidi w:val="0"/>
              <w:spacing w:lineRule="auto" w:line="360" w:before="0" w:after="160"/>
              <w:ind w:start="0"/>
              <w:jc w:val="start"/>
              <w:rPr/>
            </w:pPr>
            <w:r>
              <w:rPr>
                <w:b/>
              </w:rPr>
              <w:t>Patch / Fuente</w:t>
            </w:r>
          </w:p>
        </w:tc>
        <w:tc>
          <w:tcPr>
            <w:tcW w:w="2100" w:type="dxa"/>
            <w:tcBorders/>
          </w:tcPr>
          <w:p>
            <w:pPr>
              <w:pStyle w:val="Normal"/>
              <w:widowControl/>
              <w:bidi w:val="0"/>
              <w:spacing w:lineRule="auto" w:line="360" w:before="0" w:after="160"/>
              <w:ind w:start="0"/>
              <w:jc w:val="start"/>
              <w:rPr/>
            </w:pPr>
            <w:r>
              <w:rPr>
                <w:b/>
              </w:rPr>
              <w:t>Cambio DDL</w:t>
            </w:r>
          </w:p>
        </w:tc>
        <w:tc>
          <w:tcPr>
            <w:tcW w:w="2100" w:type="dxa"/>
            <w:tcBorders/>
          </w:tcPr>
          <w:p>
            <w:pPr>
              <w:pStyle w:val="Normal"/>
              <w:widowControl/>
              <w:bidi w:val="0"/>
              <w:spacing w:lineRule="auto" w:line="360" w:before="0" w:after="160"/>
              <w:ind w:start="0"/>
              <w:jc w:val="start"/>
              <w:rPr/>
            </w:pPr>
            <w:r>
              <w:rPr>
                <w:b/>
              </w:rPr>
              <w:t>Justificación</w:t>
            </w:r>
          </w:p>
        </w:tc>
        <w:tc>
          <w:tcPr>
            <w:tcW w:w="2100" w:type="dxa"/>
            <w:tcBorders/>
          </w:tcPr>
          <w:p>
            <w:pPr>
              <w:pStyle w:val="Normal"/>
              <w:widowControl/>
              <w:bidi w:val="0"/>
              <w:spacing w:lineRule="auto" w:line="360" w:before="0" w:after="160"/>
              <w:ind w:start="0"/>
              <w:jc w:val="start"/>
              <w:rPr/>
            </w:pPr>
            <w:r>
              <w:rPr>
                <w:b/>
              </w:rPr>
              <w:t>Consumidor</w:t>
            </w:r>
          </w:p>
        </w:tc>
      </w:tr>
      <w:tr>
        <w:trPr/>
        <w:tc>
          <w:tcPr>
            <w:tcW w:w="2100" w:type="dxa"/>
            <w:tcBorders/>
          </w:tcPr>
          <w:p>
            <w:pPr>
              <w:pStyle w:val="Normal"/>
              <w:widowControl/>
              <w:bidi w:val="0"/>
              <w:spacing w:lineRule="auto" w:line="360" w:before="0" w:after="160"/>
              <w:ind w:start="0"/>
              <w:jc w:val="start"/>
              <w:rPr/>
            </w:pPr>
            <w:r>
              <w:rPr/>
              <w:t>Diseño base MVP</w:t>
            </w:r>
          </w:p>
        </w:tc>
        <w:tc>
          <w:tcPr>
            <w:tcW w:w="2100" w:type="dxa"/>
            <w:tcBorders/>
          </w:tcPr>
          <w:p>
            <w:pPr>
              <w:pStyle w:val="Normal"/>
              <w:widowControl/>
              <w:bidi w:val="0"/>
              <w:spacing w:lineRule="auto" w:line="360" w:before="0" w:after="160"/>
              <w:ind w:start="0"/>
              <w:jc w:val="start"/>
              <w:rPr/>
            </w:pPr>
            <w:r>
              <w:rPr/>
              <w:t>database/BBDD_SovereignID.sql</w:t>
            </w:r>
          </w:p>
        </w:tc>
        <w:tc>
          <w:tcPr>
            <w:tcW w:w="2100" w:type="dxa"/>
            <w:tcBorders/>
          </w:tcPr>
          <w:p>
            <w:pPr>
              <w:pStyle w:val="Normal"/>
              <w:widowControl/>
              <w:bidi w:val="0"/>
              <w:spacing w:lineRule="auto" w:line="360" w:before="0" w:after="160"/>
              <w:ind w:start="0"/>
              <w:jc w:val="start"/>
              <w:rPr/>
            </w:pPr>
            <w:r>
              <w:rPr/>
              <w:t>Núcleo ~12 tablas: institutions, careers, students, student_wallets, users, institution_users, institution_invitations, credentials, credential_types, auth_challenges, verification_logs, audit_logs, institution_metrics_daily.</w:t>
            </w:r>
          </w:p>
        </w:tc>
        <w:tc>
          <w:tcPr>
            <w:tcW w:w="2100" w:type="dxa"/>
            <w:tcBorders/>
          </w:tcPr>
          <w:p>
            <w:pPr>
              <w:pStyle w:val="Normal"/>
              <w:widowControl/>
              <w:bidi w:val="0"/>
              <w:spacing w:lineRule="auto" w:line="360" w:before="0" w:after="160"/>
              <w:ind w:start="0"/>
              <w:jc w:val="start"/>
              <w:rPr/>
            </w:pPr>
            <w:r>
              <w:rPr/>
              <w:t>PostgreSQL 16 compartido como índice operativo de VCs: metadatos multi-tenant, roles y anclas IPFS/on-chain. Sin PII académica en tablas students (datos personales en JSON-LD/IPFS o SIS). Sepolia fija (chain_id 11155111).</w:t>
            </w:r>
          </w:p>
        </w:tc>
        <w:tc>
          <w:tcPr>
            <w:tcW w:w="2100" w:type="dxa"/>
            <w:tcBorders/>
          </w:tcPr>
          <w:p>
            <w:pPr>
              <w:pStyle w:val="Normal"/>
              <w:widowControl/>
              <w:bidi w:val="0"/>
              <w:spacing w:lineRule="auto" w:line="360" w:before="0" w:after="160"/>
              <w:ind w:start="0"/>
              <w:jc w:val="start"/>
              <w:rPr/>
            </w:pPr>
            <w:r>
              <w:rPr/>
              <w:t>auth-api, academy-api, issuer-api, verifier-api, reports-api</w:t>
            </w:r>
          </w:p>
        </w:tc>
      </w:tr>
      <w:tr>
        <w:trPr/>
        <w:tc>
          <w:tcPr>
            <w:tcW w:w="2100" w:type="dxa"/>
            <w:tcBorders/>
          </w:tcPr>
          <w:p>
            <w:pPr>
              <w:pStyle w:val="Normal"/>
              <w:widowControl/>
              <w:bidi w:val="0"/>
              <w:spacing w:lineRule="auto" w:line="360" w:before="0" w:after="160"/>
              <w:ind w:start="0"/>
              <w:jc w:val="start"/>
              <w:rPr/>
            </w:pPr>
            <w:r>
              <w:rPr/>
              <w:t>2026-07-04</w:t>
            </w:r>
          </w:p>
        </w:tc>
        <w:tc>
          <w:tcPr>
            <w:tcW w:w="2100" w:type="dxa"/>
            <w:tcBorders/>
          </w:tcPr>
          <w:p>
            <w:pPr>
              <w:pStyle w:val="Normal"/>
              <w:widowControl/>
              <w:bidi w:val="0"/>
              <w:spacing w:lineRule="auto" w:line="360" w:before="0" w:after="160"/>
              <w:ind w:start="0"/>
              <w:jc w:val="start"/>
              <w:rPr/>
            </w:pPr>
            <w:r>
              <w:rPr/>
              <w:t>database/patches/2026-07-04-academy-authz.sql</w:t>
            </w:r>
          </w:p>
        </w:tc>
        <w:tc>
          <w:tcPr>
            <w:tcW w:w="2100" w:type="dxa"/>
            <w:tcBorders/>
          </w:tcPr>
          <w:p>
            <w:pPr>
              <w:pStyle w:val="Normal"/>
              <w:widowControl/>
              <w:bidi w:val="0"/>
              <w:spacing w:lineRule="auto" w:line="360" w:before="0" w:after="160"/>
              <w:ind w:start="0"/>
              <w:jc w:val="start"/>
              <w:rPr/>
            </w:pPr>
            <w:r>
              <w:rPr/>
              <w:t>ENUM global_user_role (platform_admin); tabla user_global_roles con soft-revoke; ENUM user_role + valor viewer.</w:t>
            </w:r>
          </w:p>
        </w:tc>
        <w:tc>
          <w:tcPr>
            <w:tcW w:w="2100" w:type="dxa"/>
            <w:tcBorders/>
          </w:tcPr>
          <w:p>
            <w:pPr>
              <w:pStyle w:val="Normal"/>
              <w:widowControl/>
              <w:bidi w:val="0"/>
              <w:spacing w:lineRule="auto" w:line="360" w:before="0" w:after="160"/>
              <w:ind w:start="0"/>
              <w:jc w:val="start"/>
              <w:rPr/>
            </w:pPr>
            <w:r>
              <w:rPr/>
              <w:t>Separar rol de plataforma del institucional; persistir platform_admin en BD (no solo allowlist); habilitar perfil solo lectura (viewer) para dashboards /academy sin emitir ni administrar.</w:t>
            </w:r>
          </w:p>
        </w:tc>
        <w:tc>
          <w:tcPr>
            <w:tcW w:w="2100" w:type="dxa"/>
            <w:tcBorders/>
          </w:tcPr>
          <w:p>
            <w:pPr>
              <w:pStyle w:val="Normal"/>
              <w:widowControl/>
              <w:bidi w:val="0"/>
              <w:spacing w:lineRule="auto" w:line="360" w:before="0" w:after="160"/>
              <w:ind w:start="0"/>
              <w:jc w:val="start"/>
              <w:rPr/>
            </w:pPr>
            <w:r>
              <w:rPr/>
              <w:t>auth-api (claims JWT), reports-api (policies)</w:t>
            </w:r>
          </w:p>
        </w:tc>
      </w:tr>
      <w:tr>
        <w:trPr/>
        <w:tc>
          <w:tcPr>
            <w:tcW w:w="2100" w:type="dxa"/>
            <w:tcBorders/>
          </w:tcPr>
          <w:p>
            <w:pPr>
              <w:pStyle w:val="Normal"/>
              <w:widowControl/>
              <w:bidi w:val="0"/>
              <w:spacing w:lineRule="auto" w:line="360" w:before="0" w:after="160"/>
              <w:ind w:start="0"/>
              <w:jc w:val="start"/>
              <w:rPr/>
            </w:pPr>
            <w:r>
              <w:rPr/>
              <w:t>2026-07-05</w:t>
            </w:r>
          </w:p>
        </w:tc>
        <w:tc>
          <w:tcPr>
            <w:tcW w:w="2100" w:type="dxa"/>
            <w:tcBorders/>
          </w:tcPr>
          <w:p>
            <w:pPr>
              <w:pStyle w:val="Normal"/>
              <w:widowControl/>
              <w:bidi w:val="0"/>
              <w:spacing w:lineRule="auto" w:line="360" w:before="0" w:after="160"/>
              <w:ind w:start="0"/>
              <w:jc w:val="start"/>
              <w:rPr/>
            </w:pPr>
            <w:r>
              <w:rPr/>
              <w:t>database/patches/2026-07-05-holder-profile.sql</w:t>
            </w:r>
          </w:p>
        </w:tc>
        <w:tc>
          <w:tcPr>
            <w:tcW w:w="2100" w:type="dxa"/>
            <w:tcBorders/>
          </w:tcPr>
          <w:p>
            <w:pPr>
              <w:pStyle w:val="Normal"/>
              <w:widowControl/>
              <w:bidi w:val="0"/>
              <w:spacing w:lineRule="auto" w:line="360" w:before="0" w:after="160"/>
              <w:ind w:start="0"/>
              <w:jc w:val="start"/>
              <w:rPr/>
            </w:pPr>
            <w:r>
              <w:rPr/>
              <w:t>Nueva tabla holder_profiles (PK user_id → users): nombre, email, teléfono, país, fecha nacimiento.</w:t>
            </w:r>
          </w:p>
        </w:tc>
        <w:tc>
          <w:tcPr>
            <w:tcW w:w="2100" w:type="dxa"/>
            <w:tcBorders/>
          </w:tcPr>
          <w:p>
            <w:pPr>
              <w:pStyle w:val="Normal"/>
              <w:widowControl/>
              <w:bidi w:val="0"/>
              <w:spacing w:lineRule="auto" w:line="360" w:before="0" w:after="160"/>
              <w:ind w:start="0"/>
              <w:jc w:val="start"/>
              <w:rPr/>
            </w:pPr>
            <w:r>
              <w:rPr/>
              <w:t>Portal holder requiere datos de contacto editables off-chain; no deben anclarse en blockchain ni mezclarse con students anónimo. Alineado ADR-0006 (perfil en academy-api, sin identity-api). Claim holder se resuelve desde student_wallets, no desde holder_profiles.</w:t>
            </w:r>
          </w:p>
        </w:tc>
        <w:tc>
          <w:tcPr>
            <w:tcW w:w="2100" w:type="dxa"/>
            <w:tcBorders/>
          </w:tcPr>
          <w:p>
            <w:pPr>
              <w:pStyle w:val="Normal"/>
              <w:widowControl/>
              <w:bidi w:val="0"/>
              <w:spacing w:lineRule="auto" w:line="360" w:before="0" w:after="160"/>
              <w:ind w:start="0"/>
              <w:jc w:val="start"/>
              <w:rPr/>
            </w:pPr>
            <w:r>
              <w:rPr/>
              <w:t>academy-api (GET/PUT /academy/holders/me)</w:t>
            </w:r>
          </w:p>
        </w:tc>
      </w:tr>
      <w:tr>
        <w:trPr/>
        <w:tc>
          <w:tcPr>
            <w:tcW w:w="2100" w:type="dxa"/>
            <w:tcBorders/>
          </w:tcPr>
          <w:p>
            <w:pPr>
              <w:pStyle w:val="Normal"/>
              <w:widowControl/>
              <w:bidi w:val="0"/>
              <w:spacing w:lineRule="auto" w:line="360" w:before="0" w:after="160"/>
              <w:ind w:start="0"/>
              <w:jc w:val="start"/>
              <w:rPr/>
            </w:pPr>
            <w:r>
              <w:rPr/>
              <w:t>2026-07-06</w:t>
            </w:r>
          </w:p>
        </w:tc>
        <w:tc>
          <w:tcPr>
            <w:tcW w:w="2100" w:type="dxa"/>
            <w:tcBorders/>
          </w:tcPr>
          <w:p>
            <w:pPr>
              <w:pStyle w:val="Normal"/>
              <w:widowControl/>
              <w:bidi w:val="0"/>
              <w:spacing w:lineRule="auto" w:line="360" w:before="0" w:after="160"/>
              <w:ind w:start="0"/>
              <w:jc w:val="start"/>
              <w:rPr/>
            </w:pPr>
            <w:r>
              <w:rPr/>
              <w:t>database/patches/2026-07-06-verifier-evidence-checks.sql</w:t>
            </w:r>
          </w:p>
        </w:tc>
        <w:tc>
          <w:tcPr>
            <w:tcW w:w="2100" w:type="dxa"/>
            <w:tcBorders/>
          </w:tcPr>
          <w:p>
            <w:pPr>
              <w:pStyle w:val="Normal"/>
              <w:widowControl/>
              <w:bidi w:val="0"/>
              <w:spacing w:lineRule="auto" w:line="360" w:before="0" w:after="160"/>
              <w:ind w:start="0"/>
              <w:jc w:val="start"/>
              <w:rPr/>
            </w:pPr>
            <w:r>
              <w:rPr/>
              <w:t>verification_logs: ENUM verification_result + integrity_failed; columnas signature_validation_source y revocation_source.</w:t>
            </w:r>
          </w:p>
        </w:tc>
        <w:tc>
          <w:tcPr>
            <w:tcW w:w="2100" w:type="dxa"/>
            <w:tcBorders/>
          </w:tcPr>
          <w:p>
            <w:pPr>
              <w:pStyle w:val="Normal"/>
              <w:widowControl/>
              <w:bidi w:val="0"/>
              <w:spacing w:lineRule="auto" w:line="360" w:before="0" w:after="160"/>
              <w:ind w:start="0"/>
              <w:jc w:val="start"/>
              <w:rPr/>
            </w:pPr>
            <w:r>
              <w:rPr/>
              <w:t>Verifier evalúa evidencia criptográfica real (on-chain, IPFS, EIP-712). Veredicto distinto cuando un chequeo falla; columnas de fuente auditan de dónde salió cada conclusión (jerarquía: on-chain confirma; BD solo rechaza o queda inconclusa).</w:t>
            </w:r>
          </w:p>
        </w:tc>
        <w:tc>
          <w:tcPr>
            <w:tcW w:w="2100" w:type="dxa"/>
            <w:tcBorders/>
          </w:tcPr>
          <w:p>
            <w:pPr>
              <w:pStyle w:val="Normal"/>
              <w:widowControl/>
              <w:bidi w:val="0"/>
              <w:spacing w:lineRule="auto" w:line="360" w:before="0" w:after="160"/>
              <w:ind w:start="0"/>
              <w:jc w:val="start"/>
              <w:rPr/>
            </w:pPr>
            <w:r>
              <w:rPr/>
              <w:t>verifier-api (escribe logs), reports-api (agrega)</w:t>
            </w:r>
          </w:p>
        </w:tc>
      </w:tr>
    </w:tbl>
    <w:p>
      <w:pPr>
        <w:pStyle w:val="Normal"/>
        <w:rPr/>
      </w:pPr>
      <w:r>
        <w:rPr/>
        <w:t>Balance evolutivo: Base MVP (índice de credenciales sin PII) → +user_global_roles/viewer (RBAC plataforma) → +holder_profiles (perfil off-chain titular, ADR-0006) → Δverification_logs (trazabilidad criptográfica auditable). Proceso de aplicación: (1) actualizar BBDD_SovereignID.sql para instalaciones nuevas/Docker reset; (2) patch idempotente para BDs existentes; (3) regenerar modelos EF con scaffold-*-db.ps1; (4) consumir vía Application + adapters Infrastructure. Documentación completa: docs/database-schema-evolution.md.</w:t>
      </w:r>
    </w:p>
    <w:tbl>
      <w:tblPr>
        <w:tblStyle w:val="Tablaconcuadrcula"/>
        <w:tblW w:w="9675" w:type="dxa"/>
        <w:jc w:val="start"/>
        <w:tblInd w:w="135" w:type="dxa"/>
        <w:tblLayout w:type="fixed"/>
        <w:tblCellMar>
          <w:top w:w="0" w:type="dxa"/>
          <w:start w:w="90" w:type="dxa"/>
          <w:bottom w:w="0" w:type="dxa"/>
          <w:end w:w="90" w:type="dxa"/>
        </w:tblCellMar>
        <w:tblLook w:val="04a0" w:noHBand="0" w:noVBand="1" w:firstColumn="1" w:lastRow="0" w:lastColumn="0" w:firstRow="1"/>
      </w:tblPr>
      <w:tblGrid>
        <w:gridCol w:w="9675"/>
      </w:tblGrid>
      <w:tr>
        <w:trPr>
          <w:trHeight w:val="300" w:hRule="atLeast"/>
        </w:trPr>
        <w:tc>
          <w:tcPr>
            <w:tcW w:w="9675" w:type="dxa"/>
            <w:tcBorders>
              <w:top w:val="single" w:sz="6" w:space="0" w:color="BFBFBF"/>
              <w:start w:val="single" w:sz="6" w:space="0" w:color="BFBFBF"/>
              <w:bottom w:val="single" w:sz="6" w:space="0" w:color="BFBFBF"/>
              <w:end w:val="single" w:sz="6" w:space="0" w:color="BFBFBF"/>
            </w:tcBorders>
            <w:shd w:color="auto" w:fill="E7E6E6" w:themeFill="background2" w:val="clear"/>
          </w:tcPr>
          <w:p>
            <w:pPr>
              <w:pStyle w:val="Normal"/>
              <w:widowControl/>
              <w:spacing w:lineRule="auto" w:line="276" w:beforeAutospacing="0" w:before="120" w:afterAutospacing="0" w:after="120"/>
              <w:ind w:start="0" w:end="0"/>
              <w:jc w:val="start"/>
              <w:rPr>
                <w:rFonts w:ascii="Arial" w:hAnsi="Arial" w:eastAsia="Arial" w:cs="Arial"/>
                <w:b w:val="false"/>
                <w:bCs w:val="false"/>
                <w:i w:val="false"/>
                <w:i w:val="false"/>
                <w:iCs w:val="false"/>
                <w:caps w:val="false"/>
                <w:smallCaps w:val="false"/>
                <w:color w:themeColor="text1" w:val="000000"/>
                <w:sz w:val="24"/>
                <w:szCs w:val="24"/>
              </w:rPr>
            </w:pPr>
            <w:r>
              <w:rPr>
                <w:rFonts w:eastAsia="Arial" w:cs="Arial"/>
                <w:b/>
                <w:bCs/>
                <w:i w:val="false"/>
                <w:iCs w:val="false"/>
                <w:caps w:val="false"/>
                <w:smallCaps w:val="false"/>
                <w:color w:themeColor="text1" w:val="000000"/>
                <w:kern w:val="0"/>
                <w:sz w:val="24"/>
                <w:szCs w:val="24"/>
                <w:lang w:val="es-CL" w:eastAsia="en-US" w:bidi="ar-SA"/>
              </w:rPr>
              <w:t>Link con información del proyecto</w:t>
            </w:r>
          </w:p>
        </w:tc>
      </w:tr>
      <w:tr>
        <w:trPr>
          <w:trHeight w:val="300" w:hRule="atLeast"/>
        </w:trPr>
        <w:tc>
          <w:tcPr>
            <w:tcW w:w="9675" w:type="dxa"/>
            <w:tcBorders>
              <w:top w:val="single" w:sz="6" w:space="0" w:color="BFBFBF"/>
              <w:start w:val="single" w:sz="6" w:space="0" w:color="BFBFBF"/>
              <w:bottom w:val="single" w:sz="6" w:space="0" w:color="BFBFBF"/>
              <w:end w:val="single" w:sz="6" w:space="0" w:color="BFBFBF"/>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https://github.com/nasotop/SovereignID</w:t>
              <w:br/>
              <w:br/>
              <w:t>Documentación: docs/ (ADR, contratos OpenAPI, deployment.md, database-schema-evolution.md, CONTEXT.md). Entrega S3 corregida: docs/desarrollo_sumativa_S3_grupo_1.docx (30 tareas, 40 CP, RSG-01…05). CI: .github/workflows/ci.yml (65 pruebas automatizadas + deploy Portainer).</w:t>
            </w:r>
          </w:p>
        </w:tc>
      </w:tr>
    </w:tbl>
    <w:p>
      <w:pPr>
        <w:pStyle w:val="Normal"/>
        <w:jc w:val="both"/>
        <w:rPr>
          <w:rFonts w:eastAsia="Arial" w:cs="Arial"/>
        </w:rPr>
      </w:pPr>
      <w:r>
        <w:rPr>
          <w:rFonts w:eastAsia="Arial" w:cs="Arial"/>
        </w:rPr>
      </w:r>
    </w:p>
    <w:tbl>
      <w:tblPr>
        <w:tblStyle w:val="Tablaconcuadrcula"/>
        <w:tblW w:w="9675" w:type="dxa"/>
        <w:jc w:val="start"/>
        <w:tblInd w:w="135" w:type="dxa"/>
        <w:tblLayout w:type="fixed"/>
        <w:tblCellMar>
          <w:top w:w="0" w:type="dxa"/>
          <w:start w:w="90" w:type="dxa"/>
          <w:bottom w:w="0" w:type="dxa"/>
          <w:end w:w="90" w:type="dxa"/>
        </w:tblCellMar>
        <w:tblLook w:val="04a0" w:noHBand="0" w:noVBand="1" w:firstColumn="1" w:lastRow="0" w:lastColumn="0" w:firstRow="1"/>
      </w:tblPr>
      <w:tblGrid>
        <w:gridCol w:w="9675"/>
      </w:tblGrid>
      <w:tr>
        <w:trPr>
          <w:trHeight w:val="300" w:hRule="atLeast"/>
        </w:trPr>
        <w:tc>
          <w:tcPr>
            <w:tcW w:w="9675" w:type="dxa"/>
            <w:tcBorders>
              <w:top w:val="single" w:sz="6" w:space="0" w:color="BFBFBF"/>
              <w:start w:val="single" w:sz="6" w:space="0" w:color="BFBFBF"/>
              <w:bottom w:val="single" w:sz="6" w:space="0" w:color="BFBFBF"/>
              <w:end w:val="single" w:sz="6" w:space="0" w:color="BFBFBF"/>
            </w:tcBorders>
            <w:shd w:color="auto" w:fill="E7E6E6" w:themeFill="background2" w:val="clear"/>
          </w:tcPr>
          <w:p>
            <w:pPr>
              <w:pStyle w:val="Normal"/>
              <w:widowControl/>
              <w:spacing w:lineRule="auto" w:line="276" w:before="120" w:after="120"/>
              <w:jc w:val="start"/>
              <w:rPr>
                <w:rFonts w:eastAsia="Arial" w:cs="Arial"/>
                <w:color w:themeColor="text1" w:val="000000"/>
                <w:szCs w:val="24"/>
              </w:rPr>
            </w:pPr>
            <w:r>
              <w:rPr>
                <w:rFonts w:eastAsia="Arial" w:cs="Arial"/>
                <w:b/>
                <w:bCs/>
                <w:color w:themeColor="text1" w:val="000000"/>
                <w:kern w:val="0"/>
                <w:szCs w:val="24"/>
                <w:lang w:val="es-CL" w:eastAsia="en-US" w:bidi="ar-SA"/>
              </w:rPr>
              <w:t>Link con acceso al sistema</w:t>
            </w:r>
          </w:p>
        </w:tc>
      </w:tr>
      <w:tr>
        <w:trPr>
          <w:trHeight w:val="300" w:hRule="atLeast"/>
        </w:trPr>
        <w:tc>
          <w:tcPr>
            <w:tcW w:w="9675" w:type="dxa"/>
            <w:tcBorders>
              <w:top w:val="single" w:sz="6" w:space="0" w:color="BFBFBF"/>
              <w:start w:val="single" w:sz="6" w:space="0" w:color="BFBFBF"/>
              <w:bottom w:val="single" w:sz="6" w:space="0" w:color="BFBFBF"/>
              <w:end w:val="single" w:sz="6" w:space="0" w:color="BFBFBF"/>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https://github.com/nasotop/SovereignID</w:t>
              <w:br/>
              <w:br/>
              <w:t>Despliegue vivo VPS: Stack Portainer (docker-compose.yml) con NPM → host:4333 → web/nginx. Rutas: / (Angular), /auth/nonce (auth-api), /api/* (bff-api), /verifier (público). Verificación docente: GET /auth/nonce → 200; docker ps --filter name=sovereignid → healthy.</w:t>
            </w:r>
          </w:p>
        </w:tc>
      </w:tr>
    </w:tbl>
    <w:p>
      <w:pPr>
        <w:pStyle w:val="Normal"/>
        <w:rPr>
          <w:rFonts w:eastAsia="Arial" w:cs="Arial"/>
        </w:rPr>
      </w:pPr>
      <w:r>
        <w:rPr>
          <w:rFonts w:eastAsia="Arial" w:cs="Arial"/>
        </w:rPr>
      </w:r>
    </w:p>
    <w:p>
      <w:pPr>
        <w:pStyle w:val="Normal"/>
        <w:rPr>
          <w:rFonts w:eastAsia="Arial" w:cs="Arial"/>
        </w:rPr>
      </w:pPr>
      <w:r>
        <w:rPr>
          <w:rFonts w:eastAsia="Arial" w:cs="Arial"/>
        </w:rPr>
      </w:r>
    </w:p>
    <w:p>
      <w:pPr>
        <w:pStyle w:val="Normal"/>
        <w:rPr>
          <w:rFonts w:eastAsia="Arial" w:cs="Arial"/>
        </w:rPr>
      </w:pPr>
      <w:r>
        <w:rPr>
          <w:rFonts w:eastAsia="Arial" w:cs="Arial"/>
        </w:rPr>
      </w:r>
    </w:p>
    <w:p>
      <w:pPr>
        <w:pStyle w:val="Normal"/>
        <w:rPr>
          <w:rFonts w:eastAsia="Arial" w:cs="Arial"/>
        </w:rPr>
      </w:pPr>
      <w:r>
        <w:rPr>
          <w:rFonts w:eastAsia="Arial" w:cs="Arial"/>
        </w:rPr>
      </w:r>
    </w:p>
    <w:p>
      <w:pPr>
        <w:pStyle w:val="Normal"/>
        <w:rPr>
          <w:rFonts w:eastAsia="Arial" w:cs="Arial"/>
        </w:rPr>
      </w:pPr>
      <w:r>
        <w:rPr>
          <w:rFonts w:eastAsia="Arial" w:cs="Arial"/>
        </w:rPr>
      </w:r>
    </w:p>
    <w:p>
      <w:pPr>
        <w:pStyle w:val="Normal"/>
        <w:rPr>
          <w:rFonts w:eastAsia="Arial" w:cs="Arial"/>
        </w:rPr>
      </w:pPr>
      <w:r>
        <w:rPr>
          <w:rFonts w:eastAsia="Arial" w:cs="Arial"/>
        </w:rPr>
      </w:r>
    </w:p>
    <w:tbl>
      <w:tblPr>
        <w:tblStyle w:val="Tablaconcuadrcula"/>
        <w:tblW w:w="9675" w:type="dxa"/>
        <w:jc w:val="start"/>
        <w:tblInd w:w="135" w:type="dxa"/>
        <w:tblLayout w:type="fixed"/>
        <w:tblCellMar>
          <w:top w:w="0" w:type="dxa"/>
          <w:start w:w="90" w:type="dxa"/>
          <w:bottom w:w="0" w:type="dxa"/>
          <w:end w:w="90" w:type="dxa"/>
        </w:tblCellMar>
        <w:tblLook w:val="04a0" w:noHBand="0" w:noVBand="1" w:firstColumn="1" w:lastRow="0" w:lastColumn="0" w:firstRow="1"/>
      </w:tblPr>
      <w:tblGrid>
        <w:gridCol w:w="9675"/>
      </w:tblGrid>
      <w:tr>
        <w:trPr>
          <w:trHeight w:val="300" w:hRule="atLeast"/>
        </w:trPr>
        <w:tc>
          <w:tcPr>
            <w:tcW w:w="9675" w:type="dxa"/>
            <w:tcBorders>
              <w:top w:val="single" w:sz="6" w:space="0" w:color="BFBFBF"/>
              <w:start w:val="single" w:sz="6" w:space="0" w:color="BFBFBF"/>
              <w:bottom w:val="single" w:sz="6" w:space="0" w:color="BFBFBF"/>
              <w:end w:val="single" w:sz="6" w:space="0" w:color="BFBFBF"/>
            </w:tcBorders>
            <w:shd w:color="auto" w:fill="E7E6E6" w:themeFill="background2" w:val="clear"/>
          </w:tcPr>
          <w:p>
            <w:pPr>
              <w:pStyle w:val="Normal"/>
              <w:widowControl/>
              <w:spacing w:lineRule="auto" w:line="276" w:before="120" w:after="120"/>
              <w:jc w:val="start"/>
              <w:rPr>
                <w:rFonts w:eastAsia="Arial" w:cs="Arial"/>
                <w:color w:themeColor="text1" w:val="000000"/>
                <w:szCs w:val="24"/>
              </w:rPr>
            </w:pPr>
            <w:r>
              <w:rPr>
                <w:rFonts w:eastAsia="Arial" w:cs="Arial"/>
                <w:b/>
                <w:bCs/>
                <w:color w:themeColor="text1" w:val="000000"/>
                <w:kern w:val="0"/>
                <w:szCs w:val="24"/>
                <w:lang w:val="es-CL" w:eastAsia="en-US" w:bidi="ar-SA"/>
              </w:rPr>
              <w:t>Instrucciones de avance</w:t>
            </w:r>
          </w:p>
        </w:tc>
      </w:tr>
      <w:tr>
        <w:trPr>
          <w:trHeight w:val="300" w:hRule="atLeast"/>
        </w:trPr>
        <w:tc>
          <w:tcPr>
            <w:tcW w:w="9675" w:type="dxa"/>
            <w:tcBorders>
              <w:top w:val="single" w:sz="6" w:space="0" w:color="BFBFBF"/>
              <w:start w:val="single" w:sz="6" w:space="0" w:color="BFBFBF"/>
              <w:bottom w:val="single" w:sz="6" w:space="0" w:color="BFBFBF"/>
              <w:end w:val="single" w:sz="6" w:space="0" w:color="BFBFBF"/>
            </w:tcBorders>
          </w:tcPr>
          <w:p>
            <w:pPr>
              <w:pStyle w:val="Normal"/>
              <w:widowControl/>
              <w:spacing w:lineRule="auto" w:line="240" w:before="0" w:after="0"/>
              <w:jc w:val="start"/>
              <w:rPr>
                <w:rFonts w:eastAsia="Arial" w:cs=""/>
                <w:kern w:val="0"/>
                <w:szCs w:val="22"/>
                <w:lang w:val="es-CL" w:eastAsia="en-US" w:bidi="ar-SA"/>
              </w:rPr>
            </w:pPr>
            <w:r>
              <w:rPr>
                <w:rFonts w:eastAsia="Arial" w:cs=""/>
                <w:kern w:val="0"/>
                <w:szCs w:val="22"/>
                <w:lang w:val="es-CL" w:eastAsia="en-US" w:bidi="ar-SA"/>
              </w:rPr>
              <w:t>REPORTE DE ENTORNO EN LA NUBE — INSTRUCCIONES DE AVANCE SEMANA 8</w:t>
              <w:br/>
              <w:br/>
              <w:t>1. Topología VPS: Portainer + Nginx Proxy Manager (NPM)</w:t>
              <w:br/>
              <w:t>La plataforma SovereignID opera en una VPS Linux con stack Docker Compose orquestado por Portainer. Nginx Proxy Manager (NPM) en el host escucha 80/443 y reenvía tráfico HTTPS al puerto host WEB_HOST_PORT (4333) → contenedor web (nginx interno puerto 80). Dentro del contenedor web, nginx enruta: / → SPA Angular 22; /auth/* → auth-api:8080; /api/* → bff-api:8080 (strip prefix). Los 6 microservicios backend NO se publican al host; solo son accesibles vía red interna sovereign-net.</w:t>
              <w:br/>
              <w:br/>
              <w:t>2. Microservicios contenerizados (aislados e independientes)</w:t>
              <w:br/>
              <w:t>Cada API es una imagen Docker independiente con healthcheck /health, restart policy y logging json-file:</w:t>
              <w:br/>
              <w:br/>
              <w:t>• auth-api (.NET 10): SIWE nonce/verify, JWT RBAC. Expuesto solo vía nginx /auth/.</w:t>
              <w:br/>
              <w:t>• academy-api (.NET 10): CRUD académico, invitaciones, perfiles holder, audit_logs.</w:t>
              <w:br/>
              <w:t>• issuer-api (.NET 10): Emisión W3C JSON-LD, IPFS Pinata, anclaje Smart Contract Sepolia.</w:t>
              <w:br/>
              <w:t>• verifier-api (.NET 10): Verificación pública POST /verifications, rate limit HTTP 429.</w:t>
              <w:br/>
              <w:t>• reports-api (.NET 10): Analíticas read-only, MetricsSnapshotJob nocturno.</w:t>
              <w:br/>
              <w:t>• bff-api (.NET 10 + Kiota): Agregación /api/ hacia verifier, issuer, academy, reports.</w:t>
              <w:br/>
              <w:br/>
              <w:t>Frontend: contenedor web (nginx:alpine + build Angular producción). Persistencia: PostgreSQL 16 (postgres:16-alpine) en sovereign-net.</w:t>
              <w:br/>
              <w:br/>
              <w:t>3. Funcionalidades implementadas y verificables</w:t>
              <w:br/>
              <w:t>✅ Autenticación SIWE (EIP-4361) + MetaMask + JWT 24h.</w:t>
              <w:br/>
              <w:t>✅ Portales platform, academy/issuer, holder y verifier público.</w:t>
              <w:br/>
              <w:t>✅ Emisión credenciales con anclaje Sepolia + pinning IPFS.</w:t>
              <w:br/>
              <w:t>✅ Verificación drag &amp; drop con veredicto agrupado.</w:t>
              <w:br/>
              <w:t>✅ CI/CD: 65 pruebas automatizadas + deploy webhook Portainer en master.</w:t>
              <w:br/>
              <w:br/>
              <w:t>5. EVOLUCIÓN DEL MODELO DE BASE DE DATOS (PostgreSQL 16)</w:t>
              <w:br/>
              <w:t>Documentado en docs/database-schema-evolution.md. Resumen de deltas aplicados:</w:t>
              <w:br/>
              <w:t>• 2026-07-04 — Autorización formalizada: user_global_roles + platform_admin + rol viewer (RBAC plataforma vs institucional).</w:t>
              <w:br/>
              <w:t>• 2026-07-05 — holder_profiles: perfil off-chain del titular (ADR-0006; sin PII en students).</w:t>
              <w:br/>
              <w:t>• 2026-07-06 — verification_logs: integrity_failed + fuentes de firma/revocación para auditoría criptográfica.</w:t>
              <w:br/>
              <w:t>Esquema canónico: database/BBDD_SovereignID.sql (15 tablas, 5 ENUMs). Patches: database/patches/*.sql (idempotentes para BDs existentes).</w:t>
              <w:br/>
              <w:br/>
              <w:t>4. HISTORIAL DE CAMBIOS — Subsanación deuda documental (Experiencia 1 → Semana 8)</w:t>
              <w:br/>
              <w:t>En desarrollo_sumativa_S3_grupo_1.docx (indexado en GitHub docs/) se subsanó íntegramente el feedback del docente:</w:t>
              <w:br/>
              <w:br/>
              <w:t>• Plan de Trabajo: desglose profundo de 7 → 30 tareas técnicas secuenciales (T-01…T-30) en 5 fases, con nombres reales de microservicios (auth-api, academy-api, issuer-api, verifier-api, reports-api, bff-api).</w:t>
              <w:br/>
              <w:t>• Plan de Riesgos: ampliación con 5 riesgos críticos Web3/infra (RSG-01…RSG-05): Sepolia, RAM VPS, Solidity, MetaMask EIP-191/4361, nonces/NTP — cada uno con mitigación y contingencia.</w:t>
              <w:br/>
              <w:t>• Plan de Pruebas: matriz formal de exactamente 40 casos base (CP-01…CP-40): 10 SIWE + 10 academy-api + 10 blockchain + 10 verifier/bff.</w:t>
              <w:br/>
              <w:t>• Arquitectura: ADR-0006 (consolidación Identity.API → auth-api + academy-api + audit_logs PostgreSQL 16).</w:t>
              <w:br/>
              <w:br/>
              <w:t>Documentos fundacionales actualizados en repositorio:</w:t>
              <w:br/>
              <w:t>— docs/desarrollo_sumativa_S3_grupo_1.docx</w:t>
              <w:br/>
              <w:t>— docs/adr/0006-consolidate-identity-into-academy-auth.md</w:t>
              <w:br/>
              <w:t>— docs/contracts/*.openapi.json</w:t>
              <w:br/>
              <w:t>— docs/deployment.md</w:t>
              <w:br/>
              <w:t>— docs/database-schema-evolution.md</w:t>
              <w:br/>
              <w:t>— CONTEXT.md</w:t>
              <w:br/>
              <w:br/>
              <w:t>Repositorio: https://github.com/nasotop/SovereignID</w:t>
            </w:r>
          </w:p>
        </w:tc>
      </w:tr>
    </w:tbl>
    <w:p>
      <w:pPr>
        <w:pStyle w:val="Normal"/>
        <w:rPr/>
      </w:pPr>
      <w:r>
        <w:rPr/>
      </w:r>
      <w:bookmarkStart w:id="0" w:name="_Hlk183597466"/>
      <w:bookmarkStart w:id="1" w:name="_Hlk183597466"/>
      <w:bookmarkEnd w:id="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0" distL="0" distR="9525" simplePos="0" locked="0" layoutInCell="1" allowOverlap="1" relativeHeight="6" wp14:anchorId="71A805CC">
                <wp:simplePos x="0" y="0"/>
                <wp:positionH relativeFrom="column">
                  <wp:posOffset>-375285</wp:posOffset>
                </wp:positionH>
                <wp:positionV relativeFrom="paragraph">
                  <wp:posOffset>401320</wp:posOffset>
                </wp:positionV>
                <wp:extent cx="7019925" cy="4500245"/>
                <wp:effectExtent l="1270" t="1270" r="0" b="0"/>
                <wp:wrapNone/>
                <wp:docPr id="5"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7">
            <wp:simplePos x="0" y="0"/>
            <wp:positionH relativeFrom="column">
              <wp:posOffset>1642745</wp:posOffset>
            </wp:positionH>
            <wp:positionV relativeFrom="paragraph">
              <wp:posOffset>249555</wp:posOffset>
            </wp:positionV>
            <wp:extent cx="2990850" cy="1179195"/>
            <wp:effectExtent l="0" t="0" r="0" b="0"/>
            <wp:wrapNone/>
            <wp:docPr id="6" name="Imagen 2" descr="Duoc UC Onlin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Duoc UC Online" title=""/>
                    <pic:cNvPicPr>
                      <a:picLocks noChangeAspect="1" noChangeArrowheads="1"/>
                    </pic:cNvPicPr>
                  </pic:nvPicPr>
                  <pic:blipFill>
                    <a:blip r:embed="rId5"/>
                    <a:stretch>
                      <a:fillRect/>
                    </a:stretch>
                  </pic:blipFill>
                  <pic:spPr bwMode="auto">
                    <a:xfrm>
                      <a:off x="0" y="0"/>
                      <a:ext cx="2990850" cy="11791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widowControl/>
        <w:bidi w:val="0"/>
        <w:spacing w:lineRule="auto" w:line="360" w:before="0" w:after="160"/>
        <w:ind w:start="0"/>
        <w:jc w:val="start"/>
        <w:rPr/>
      </w:pPr>
      <w:r>
        <w:rPr/>
      </w:r>
    </w:p>
    <w:sectPr>
      <w:footerReference w:type="even" r:id="rId6"/>
      <w:footerReference w:type="default" r:id="rId7"/>
      <w:footerReference w:type="first" r:id="rId8"/>
      <w:type w:val="nextPage"/>
      <w:pgSz w:w="12240" w:h="15840"/>
      <w:pgMar w:left="1134" w:right="1185" w:gutter="0" w:header="0"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widowControl/>
      <w:bidi w:val="0"/>
      <w:spacing w:lineRule="auto" w:line="360" w:before="0" w:after="160"/>
      <w:ind w:start="0"/>
      <w:jc w:val="start"/>
    </w:pPr>
    <w:rPr>
      <w:rFonts w:ascii="Arial" w:hAnsi="Arial" w:eastAsia="Arial" w:cs=""/>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ba64fa"/>
    <w:pPr>
      <w:keepNext w:val="true"/>
      <w:keepLines/>
      <w:spacing w:before="600" w:after="360"/>
      <w:outlineLvl w:val="0"/>
    </w:pPr>
    <w:rPr>
      <w:rFonts w:ascii="Arial" w:hAnsi="Arial" w:eastAsia="" w:cs="Arial" w:asciiTheme="minorHAnsi" w:cstheme="minorHAnsi" w:eastAsiaTheme="majorEastAsia" w:hAnsiTheme="minorHAnsi"/>
      <w:kern w:val="0"/>
      <w:szCs w:val="24"/>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 w:cs=""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link w:val="Title"/>
    <w:uiPriority w:val="10"/>
    <w:qFormat/>
    <w:rsid w:val="00e05d9e"/>
    <w:rPr>
      <w:rFonts w:ascii="Arial" w:hAnsi="Arial" w:eastAsia="" w:cs=""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6873b9"/>
    <w:rPr>
      <w:rFonts w:ascii="Arial" w:hAnsi="Arial" w:eastAsia="" w:cs=""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6873b9"/>
    <w:rPr>
      <w:rFonts w:ascii="Arial" w:hAnsi="Arial" w:eastAsia="" w:cs=""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link w:val="Heading1"/>
    <w:uiPriority w:val="9"/>
    <w:qFormat/>
    <w:rsid w:val="00ba64fa"/>
    <w:rPr>
      <w:rFonts w:eastAsia="" w:cs="Arial" w:cstheme="minorHAnsi" w:eastAsiaTheme="majorEastAsia"/>
      <w:color w:themeColor="text1" w:themeTint="bf" w:val="404040"/>
      <w:kern w:val="0"/>
      <w:sz w:val="24"/>
      <w:szCs w:val="24"/>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link w:val="Heading3"/>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link w:val="Header"/>
    <w:uiPriority w:val="99"/>
    <w:qFormat/>
    <w:rsid w:val="004f1a07"/>
    <w:rPr/>
  </w:style>
  <w:style w:type="character" w:styleId="PiedepginaCar" w:customStyle="1">
    <w:name w:val="Pie de página Car"/>
    <w:basedOn w:val="DefaultParagraphFont"/>
    <w:link w:val="Footer"/>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c06aee"/>
    <w:rPr>
      <w:rFonts w:ascii="Arial" w:hAnsi="Arial"/>
      <w:color w:themeColor="text1" w:themeTint="bf" w:val="404040"/>
      <w:kern w:val="0"/>
      <w:sz w:val="24"/>
      <w14:ligatures w14:val="none"/>
    </w:rPr>
  </w:style>
  <w:style w:type="character" w:styleId="Ttulo2Car" w:customStyle="1">
    <w:name w:val="Título 2 Car"/>
    <w:basedOn w:val="DefaultParagraphFont"/>
    <w:link w:val="Heading2"/>
    <w:uiPriority w:val="9"/>
    <w:qFormat/>
    <w:rsid w:val="0065508a"/>
    <w:rPr>
      <w:rFonts w:ascii="Arial" w:hAnsi="Arial" w:eastAsia="" w:cs=""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character" w:styleId="font181" w:customStyle="1">
    <w:name w:val="font181"/>
    <w:basedOn w:val="DefaultParagraphFont"/>
    <w:qFormat/>
    <w:rsid w:val="00ba64fa"/>
    <w:rPr>
      <w:rFonts w:ascii="Calibri" w:hAnsi="Calibri" w:cs="Calibri"/>
      <w:b/>
      <w:bCs/>
      <w:i/>
      <w:iCs/>
      <w:strike w:val="false"/>
      <w:dstrike w:val="false"/>
      <w:color w:val="000000"/>
      <w:sz w:val="32"/>
      <w:szCs w:val="32"/>
      <w:u w:val="none"/>
      <w:effect w:val="none"/>
    </w:rPr>
  </w:style>
  <w:style w:type="character" w:styleId="font231" w:customStyle="1">
    <w:name w:val="font231"/>
    <w:basedOn w:val="DefaultParagraphFont"/>
    <w:qFormat/>
    <w:rsid w:val="00ba64fa"/>
    <w:rPr>
      <w:rFonts w:ascii="Calibri" w:hAnsi="Calibri" w:cs="Calibri"/>
      <w:b w:val="false"/>
      <w:bCs w:val="false"/>
      <w:i/>
      <w:iCs/>
      <w:strike w:val="false"/>
      <w:dstrike w:val="false"/>
      <w:color w:val="000000"/>
      <w:sz w:val="32"/>
      <w:szCs w:val="32"/>
      <w:u w:val="none"/>
      <w:effect w:val="non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tuloCar"/>
    <w:uiPriority w:val="10"/>
    <w:qFormat/>
    <w:rsid w:val="00e05d9e"/>
    <w:pPr>
      <w:spacing w:lineRule="auto" w:line="240" w:before="0" w:after="0"/>
      <w:contextualSpacing/>
    </w:pPr>
    <w:rPr>
      <w:rFonts w:eastAsia="" w:cs=""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6873b9"/>
    <w:pPr/>
    <w:rPr>
      <w:sz w:val="48"/>
    </w:rPr>
  </w:style>
  <w:style w:type="paragraph" w:styleId="carrera2" w:customStyle="1">
    <w:name w:val="carrera2"/>
    <w:link w:val="carrera2Car"/>
    <w:qFormat/>
    <w:rsid w:val="006873b9"/>
    <w:pPr>
      <w:widowControl/>
      <w:bidi w:val="0"/>
      <w:spacing w:lineRule="auto" w:line="240" w:before="0" w:after="160"/>
      <w:ind w:start="0"/>
      <w:jc w:val="start"/>
    </w:pPr>
    <w:rPr>
      <w:rFonts w:ascii="Arial" w:hAnsi="Arial" w:eastAsia="" w:cs="" w:cstheme="majorBidi" w:eastAsiaTheme="majorEastAsia"/>
      <w:b/>
      <w:color w:themeColor="text1" w:themeTint="bf" w:val="404040"/>
      <w:spacing w:val="-10"/>
      <w:kern w:val="2"/>
      <w:sz w:val="72"/>
      <w:szCs w:val="90"/>
      <w:lang w:val="es-CL" w:eastAsia="en-US" w:bidi="ar-SA"/>
      <w14:ligatures w14:val="none"/>
    </w:rPr>
  </w:style>
  <w:style w:type="paragraph" w:styleId="HeaderandFooter">
    <w:name w:val="Header and Footer"/>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c06aee"/>
    <w:pPr>
      <w:numPr>
        <w:ilvl w:val="0"/>
        <w:numId w:val="1"/>
      </w:numPr>
      <w:spacing w:before="0" w:after="160"/>
      <w:ind w:start="3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start="864" w:end="864"/>
      <w:jc w:val="center"/>
    </w:pPr>
    <w:rPr>
      <w:i/>
      <w:iCs/>
    </w:rPr>
  </w:style>
  <w:style w:type="paragraph" w:styleId="TOC2">
    <w:name w:val="TOC 2"/>
    <w:basedOn w:val="Normal"/>
    <w:next w:val="Normal"/>
    <w:autoRedefine/>
    <w:uiPriority w:val="39"/>
    <w:unhideWhenUsed/>
    <w:rsid w:val="00b352b3"/>
    <w:pPr>
      <w:spacing w:before="0" w:after="100"/>
      <w:ind w:star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themeColor="text1" w:themeTint="bf"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6873b9"/>
    <w:pPr>
      <w:spacing w:lineRule="auto" w:line="259"/>
    </w:pPr>
    <w:rPr>
      <w:kern w:val="0"/>
      <w:sz w:val="32"/>
      <w:szCs w:val="44"/>
      <w14:ligatures w14:val="none"/>
    </w:rPr>
  </w:style>
  <w:style w:type="paragraph" w:styleId="Epgrafe" w:customStyle="1">
    <w:name w:val="Epígrafe"/>
    <w:basedOn w:val="Normal"/>
    <w:uiPriority w:val="1"/>
    <w:qFormat/>
    <w:rsid w:val="00220e71"/>
    <w:pPr>
      <w:spacing w:lineRule="auto" w:line="259"/>
    </w:pPr>
    <w:rPr>
      <w:b/>
      <w:bCs/>
      <w:kern w:val="0"/>
      <w:sz w:val="36"/>
      <w:szCs w:val="36"/>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2024-12-06T18:50:00Z</dcterms:created>
  <dc:creator>Duoc UC Online</dc:creator>
  <dc:description/>
  <dc:language>en-US</dc:language>
  <cp:lastModifiedBy>Maria Jose Medina C.</cp:lastModifiedBy>
  <dcterms:modified xsi:type="dcterms:W3CDTF">2025-03-19T19:12:46Z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1633500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