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45F84" w14:textId="77777777" w:rsidR="00AD2C03" w:rsidRPr="00D94786" w:rsidRDefault="00000000">
      <w:pPr>
        <w:pStyle w:val="Heading1"/>
        <w:rPr>
          <w:lang w:val="es-ES"/>
        </w:rPr>
      </w:pPr>
      <w:r w:rsidRPr="00D94786">
        <w:rPr>
          <w:lang w:val="es-ES"/>
        </w:rPr>
        <w:t>Plan de Gestión del Alcance del Proyecto: SensorControl App</w:t>
      </w:r>
    </w:p>
    <w:p w14:paraId="65F1125C" w14:textId="77777777" w:rsidR="00AD2C03" w:rsidRPr="00D94786" w:rsidRDefault="00000000">
      <w:pPr>
        <w:pStyle w:val="Heading2"/>
        <w:rPr>
          <w:lang w:val="es-ES"/>
        </w:rPr>
      </w:pPr>
      <w:r w:rsidRPr="00D94786">
        <w:rPr>
          <w:lang w:val="es-ES"/>
        </w:rPr>
        <w:t>1. Propósito del documento</w:t>
      </w:r>
    </w:p>
    <w:p w14:paraId="6C5A313B" w14:textId="77777777" w:rsidR="00AD2C03" w:rsidRPr="00D94786" w:rsidRDefault="00000000">
      <w:pPr>
        <w:rPr>
          <w:lang w:val="es-ES"/>
        </w:rPr>
      </w:pPr>
      <w:r w:rsidRPr="00D94786">
        <w:rPr>
          <w:lang w:val="es-ES"/>
        </w:rPr>
        <w:t>Definir cómo se gestionará el alcance del proyecto SensorControl App, incluyendo cómo se validará, controlará y documentará.</w:t>
      </w:r>
    </w:p>
    <w:p w14:paraId="5B1F8E28" w14:textId="77777777" w:rsidR="00AD2C03" w:rsidRPr="00D94786" w:rsidRDefault="00000000">
      <w:pPr>
        <w:pStyle w:val="Heading2"/>
        <w:rPr>
          <w:lang w:val="es-ES"/>
        </w:rPr>
      </w:pPr>
      <w:r w:rsidRPr="00D94786">
        <w:rPr>
          <w:lang w:val="es-ES"/>
        </w:rPr>
        <w:t>2. Enfoque de gestión del alcance</w:t>
      </w:r>
    </w:p>
    <w:p w14:paraId="649D79C2" w14:textId="77777777" w:rsidR="00AD2C03" w:rsidRPr="00D94786" w:rsidRDefault="00000000">
      <w:pPr>
        <w:rPr>
          <w:lang w:val="es-ES"/>
        </w:rPr>
      </w:pPr>
      <w:r w:rsidRPr="00D94786">
        <w:rPr>
          <w:lang w:val="es-ES"/>
        </w:rPr>
        <w:t>El alcance se gestionará mediante reuniones periódicas del equipo, revisión de requisitos con el patrocinador, y uso de Microsoft Planner para seguimiento de tareas. Se aplicará control de cambios para cualquier modificación.</w:t>
      </w:r>
    </w:p>
    <w:p w14:paraId="0854F088" w14:textId="77777777" w:rsidR="00AD2C03" w:rsidRPr="00D94786" w:rsidRDefault="00000000">
      <w:pPr>
        <w:pStyle w:val="Heading2"/>
        <w:rPr>
          <w:lang w:val="es-ES"/>
        </w:rPr>
      </w:pPr>
      <w:r w:rsidRPr="00D94786">
        <w:rPr>
          <w:lang w:val="es-ES"/>
        </w:rPr>
        <w:t>3. Recolección de requisitos</w:t>
      </w:r>
    </w:p>
    <w:p w14:paraId="3D9C37D8" w14:textId="77777777" w:rsidR="00AD2C03" w:rsidRPr="00D94786" w:rsidRDefault="00000000">
      <w:pPr>
        <w:rPr>
          <w:lang w:val="es-ES"/>
        </w:rPr>
      </w:pPr>
      <w:r w:rsidRPr="00D94786">
        <w:rPr>
          <w:lang w:val="es-ES"/>
        </w:rPr>
        <w:t>Los requisitos se obtendrán mediante entrevistas con usuarios potenciales, análisis de mercado y revisión de estándares IoT. Se documentarán en una matriz de trazabilidad.</w:t>
      </w:r>
    </w:p>
    <w:p w14:paraId="2D173A47" w14:textId="77777777" w:rsidR="00AD2C03" w:rsidRPr="00D94786" w:rsidRDefault="00000000">
      <w:pPr>
        <w:pStyle w:val="Heading2"/>
        <w:rPr>
          <w:lang w:val="es-ES"/>
        </w:rPr>
      </w:pPr>
      <w:r w:rsidRPr="00D94786">
        <w:rPr>
          <w:lang w:val="es-ES"/>
        </w:rPr>
        <w:t>4. Definición del alcance</w:t>
      </w:r>
    </w:p>
    <w:p w14:paraId="6F238357" w14:textId="77777777" w:rsidR="00AD2C03" w:rsidRPr="00D94786" w:rsidRDefault="00000000">
      <w:pPr>
        <w:rPr>
          <w:lang w:val="es-ES"/>
        </w:rPr>
      </w:pPr>
      <w:r w:rsidRPr="00D94786">
        <w:rPr>
          <w:lang w:val="es-ES"/>
        </w:rPr>
        <w:t>El alcance incluye:</w:t>
      </w:r>
    </w:p>
    <w:p w14:paraId="4072A0BC" w14:textId="77777777" w:rsidR="00AD2C03" w:rsidRDefault="00000000">
      <w:pPr>
        <w:pStyle w:val="ListBullet"/>
      </w:pPr>
      <w:r>
        <w:t>- Desarrollo de backend y APIs</w:t>
      </w:r>
    </w:p>
    <w:p w14:paraId="088D1701" w14:textId="77777777" w:rsidR="00AD2C03" w:rsidRDefault="00000000">
      <w:pPr>
        <w:pStyle w:val="ListBullet"/>
      </w:pPr>
      <w:r>
        <w:t>- Interfaces web y móvil</w:t>
      </w:r>
    </w:p>
    <w:p w14:paraId="27B83883" w14:textId="77777777" w:rsidR="00AD2C03" w:rsidRDefault="00000000">
      <w:pPr>
        <w:pStyle w:val="ListBullet"/>
      </w:pPr>
      <w:r>
        <w:t>- Pruebas con sensores físicos</w:t>
      </w:r>
    </w:p>
    <w:p w14:paraId="615CC770" w14:textId="77777777" w:rsidR="00AD2C03" w:rsidRPr="00D94786" w:rsidRDefault="00000000">
      <w:pPr>
        <w:pStyle w:val="ListBullet"/>
        <w:rPr>
          <w:lang w:val="es-ES"/>
        </w:rPr>
      </w:pPr>
      <w:r w:rsidRPr="00D94786">
        <w:rPr>
          <w:lang w:val="es-ES"/>
        </w:rPr>
        <w:t>- Documentación técnica y manual de usuario</w:t>
      </w:r>
    </w:p>
    <w:p w14:paraId="3F5C0953" w14:textId="77777777" w:rsidR="00AD2C03" w:rsidRDefault="00000000">
      <w:r>
        <w:t>Quedan fuera:</w:t>
      </w:r>
    </w:p>
    <w:p w14:paraId="48DE95BC" w14:textId="77777777" w:rsidR="00AD2C03" w:rsidRPr="00D94786" w:rsidRDefault="00000000">
      <w:pPr>
        <w:pStyle w:val="ListBullet"/>
        <w:rPr>
          <w:lang w:val="es-ES"/>
        </w:rPr>
      </w:pPr>
      <w:r w:rsidRPr="00D94786">
        <w:rPr>
          <w:lang w:val="es-ES"/>
        </w:rPr>
        <w:t>- Integración con sensores distintos a los de temperatura</w:t>
      </w:r>
    </w:p>
    <w:p w14:paraId="1E232C4F" w14:textId="77777777" w:rsidR="00AD2C03" w:rsidRDefault="00000000">
      <w:pPr>
        <w:pStyle w:val="ListBullet"/>
      </w:pPr>
      <w:r>
        <w:t>- Comercialización y mantenimiento post-implantación</w:t>
      </w:r>
    </w:p>
    <w:p w14:paraId="46679277" w14:textId="77777777" w:rsidR="00AD2C03" w:rsidRPr="00D94786" w:rsidRDefault="00000000">
      <w:pPr>
        <w:pStyle w:val="Heading2"/>
        <w:rPr>
          <w:lang w:val="es-ES"/>
        </w:rPr>
      </w:pPr>
      <w:r w:rsidRPr="00D94786">
        <w:rPr>
          <w:lang w:val="es-ES"/>
        </w:rPr>
        <w:t>5. EDT (Estructura de Desglose del Trabajo)</w:t>
      </w:r>
    </w:p>
    <w:p w14:paraId="0E6AA8D0" w14:textId="77777777" w:rsidR="00AD2C03" w:rsidRPr="00D94786" w:rsidRDefault="00000000">
      <w:pPr>
        <w:rPr>
          <w:lang w:val="es-ES"/>
        </w:rPr>
      </w:pPr>
      <w:r w:rsidRPr="00D94786">
        <w:rPr>
          <w:lang w:val="es-ES"/>
        </w:rPr>
        <w:t>Se elaborará una EDT jerárquica que descompone el proyecto en paquetes de trabajo, alineados con los entregables definidos en el acta.</w:t>
      </w:r>
    </w:p>
    <w:p w14:paraId="2CDAF547" w14:textId="77777777" w:rsidR="00AD2C03" w:rsidRPr="00D94786" w:rsidRDefault="00000000">
      <w:pPr>
        <w:pStyle w:val="Heading2"/>
        <w:rPr>
          <w:lang w:val="es-ES"/>
        </w:rPr>
      </w:pPr>
      <w:r w:rsidRPr="00D94786">
        <w:rPr>
          <w:lang w:val="es-ES"/>
        </w:rPr>
        <w:t>6. Validación del alcance</w:t>
      </w:r>
    </w:p>
    <w:p w14:paraId="670063BB" w14:textId="77777777" w:rsidR="00AD2C03" w:rsidRPr="00D94786" w:rsidRDefault="00000000">
      <w:pPr>
        <w:rPr>
          <w:lang w:val="es-ES"/>
        </w:rPr>
      </w:pPr>
      <w:r w:rsidRPr="00D94786">
        <w:rPr>
          <w:lang w:val="es-ES"/>
        </w:rPr>
        <w:t>La validación se realizará mediante revisión de entregables por el patrocinador y pruebas funcionales con sensores reales.</w:t>
      </w:r>
    </w:p>
    <w:p w14:paraId="14FEECF4" w14:textId="77777777" w:rsidR="00AD2C03" w:rsidRPr="00D94786" w:rsidRDefault="00000000">
      <w:pPr>
        <w:pStyle w:val="Heading2"/>
        <w:rPr>
          <w:lang w:val="es-ES"/>
        </w:rPr>
      </w:pPr>
      <w:r w:rsidRPr="00D94786">
        <w:rPr>
          <w:lang w:val="es-ES"/>
        </w:rPr>
        <w:t>7. Control del alcance</w:t>
      </w:r>
    </w:p>
    <w:p w14:paraId="12D51553" w14:textId="77777777" w:rsidR="00AD2C03" w:rsidRPr="00D94786" w:rsidRDefault="00000000">
      <w:pPr>
        <w:rPr>
          <w:lang w:val="es-ES"/>
        </w:rPr>
      </w:pPr>
      <w:r w:rsidRPr="00D94786">
        <w:rPr>
          <w:lang w:val="es-ES"/>
        </w:rPr>
        <w:t>Se utilizará Microsoft Planner para controlar el avance. Cualquier cambio deberá ser aprobado por el director del proyecto y registrado formalmente.</w:t>
      </w:r>
    </w:p>
    <w:p w14:paraId="36C730C3" w14:textId="77777777" w:rsidR="00D94786" w:rsidRPr="00D94786" w:rsidRDefault="00D94786">
      <w:pPr>
        <w:rPr>
          <w:lang w:val="es-ES"/>
        </w:rPr>
      </w:pPr>
    </w:p>
    <w:p w14:paraId="139FCBF9" w14:textId="77777777" w:rsidR="00AD2C03" w:rsidRDefault="00000000">
      <w:pPr>
        <w:pStyle w:val="Heading2"/>
      </w:pPr>
      <w:r>
        <w:lastRenderedPageBreak/>
        <w:t>8. Roles y responsabilidades</w:t>
      </w:r>
    </w:p>
    <w:p w14:paraId="7460D97C" w14:textId="77777777" w:rsidR="00AD2C03" w:rsidRPr="00D94786" w:rsidRDefault="00000000">
      <w:pPr>
        <w:pStyle w:val="ListBullet"/>
        <w:rPr>
          <w:lang w:val="es-ES"/>
        </w:rPr>
      </w:pPr>
      <w:r w:rsidRPr="00D94786">
        <w:rPr>
          <w:lang w:val="es-ES"/>
        </w:rPr>
        <w:t>- Director del proyecto: Nasratullah Jabarkhil – responsable de validar y controlar el alcance.</w:t>
      </w:r>
    </w:p>
    <w:p w14:paraId="42845592" w14:textId="77777777" w:rsidR="00AD2C03" w:rsidRPr="00D94786" w:rsidRDefault="00000000">
      <w:pPr>
        <w:pStyle w:val="ListBullet"/>
        <w:rPr>
          <w:lang w:val="es-ES"/>
        </w:rPr>
      </w:pPr>
      <w:r w:rsidRPr="00D94786">
        <w:rPr>
          <w:lang w:val="es-ES"/>
        </w:rPr>
        <w:t>- Equipo técnico: Diego Santos (frontend), Anderson (UX/UI) – responsables de ejecución técnica.</w:t>
      </w:r>
    </w:p>
    <w:p w14:paraId="69D38EB0" w14:textId="77777777" w:rsidR="00AD2C03" w:rsidRDefault="00000000">
      <w:pPr>
        <w:pStyle w:val="ListBullet"/>
      </w:pPr>
      <w:r>
        <w:t>- Patrocinadora: María López – validación final del alcance.</w:t>
      </w:r>
    </w:p>
    <w:sectPr w:rsidR="00AD2C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9504383">
    <w:abstractNumId w:val="8"/>
  </w:num>
  <w:num w:numId="2" w16cid:durableId="2047630889">
    <w:abstractNumId w:val="6"/>
  </w:num>
  <w:num w:numId="3" w16cid:durableId="315498050">
    <w:abstractNumId w:val="5"/>
  </w:num>
  <w:num w:numId="4" w16cid:durableId="935601054">
    <w:abstractNumId w:val="4"/>
  </w:num>
  <w:num w:numId="5" w16cid:durableId="722868280">
    <w:abstractNumId w:val="7"/>
  </w:num>
  <w:num w:numId="6" w16cid:durableId="18093446">
    <w:abstractNumId w:val="3"/>
  </w:num>
  <w:num w:numId="7" w16cid:durableId="306404152">
    <w:abstractNumId w:val="2"/>
  </w:num>
  <w:num w:numId="8" w16cid:durableId="1866477672">
    <w:abstractNumId w:val="1"/>
  </w:num>
  <w:num w:numId="9" w16cid:durableId="67025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CBF"/>
    <w:rsid w:val="0029639D"/>
    <w:rsid w:val="00326F90"/>
    <w:rsid w:val="00AA1D8D"/>
    <w:rsid w:val="00AD2C03"/>
    <w:rsid w:val="00B47730"/>
    <w:rsid w:val="00CB0664"/>
    <w:rsid w:val="00D94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43D9FCF-D2B8-8B4B-8D34-36E36306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Nasratullah Jabarkhil</cp:lastModifiedBy>
  <cp:revision>2</cp:revision>
  <dcterms:created xsi:type="dcterms:W3CDTF">2013-12-23T23:15:00Z</dcterms:created>
  <dcterms:modified xsi:type="dcterms:W3CDTF">2025-10-10T09:57:00Z</dcterms:modified>
  <cp:category/>
</cp:coreProperties>
</file>