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CF72" w14:textId="77777777" w:rsidR="00E315B3" w:rsidRPr="00E315B3" w:rsidRDefault="00E315B3" w:rsidP="00E315B3">
      <w:p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Plan de Gestión de Riesgos — SensorControl App</w:t>
      </w:r>
    </w:p>
    <w:p w14:paraId="4FC6282C" w14:textId="7E66572C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Planificar la Gestión de los Riesgos</w:t>
      </w:r>
    </w:p>
    <w:p w14:paraId="7FFFFF37" w14:textId="77777777" w:rsidR="00E315B3" w:rsidRPr="00E315B3" w:rsidRDefault="00E315B3" w:rsidP="00E315B3">
      <w:pPr>
        <w:numPr>
          <w:ilvl w:val="0"/>
          <w:numId w:val="18"/>
        </w:numPr>
      </w:pPr>
      <w:r w:rsidRPr="00E315B3">
        <w:t>Objetivo: definir el enfoque, herramientas, roles y responsabilidades para gestionar riesgos durante todo el proyecto.</w:t>
      </w:r>
    </w:p>
    <w:p w14:paraId="1AEEDC04" w14:textId="77777777" w:rsidR="00E315B3" w:rsidRPr="00E315B3" w:rsidRDefault="00E315B3" w:rsidP="00E315B3">
      <w:pPr>
        <w:numPr>
          <w:ilvl w:val="0"/>
          <w:numId w:val="18"/>
        </w:numPr>
      </w:pPr>
      <w:r w:rsidRPr="00E315B3">
        <w:t>Entregables: plan de riesgos, plantilla de registro de riesgos, criterios de probabilidad e impacto, frecuencia de revisión.</w:t>
      </w:r>
    </w:p>
    <w:p w14:paraId="587B42D1" w14:textId="762DE59F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Identificar los Riesgos</w:t>
      </w:r>
    </w:p>
    <w:p w14:paraId="0BBF4311" w14:textId="77777777" w:rsidR="00E315B3" w:rsidRPr="00E315B3" w:rsidRDefault="00E315B3" w:rsidP="00E315B3">
      <w:pPr>
        <w:numPr>
          <w:ilvl w:val="0"/>
          <w:numId w:val="19"/>
        </w:numPr>
      </w:pPr>
      <w:r w:rsidRPr="00E315B3">
        <w:t>Método: sesiones con el equipo, revisión del Acta y experiencias previas, checklists.</w:t>
      </w:r>
    </w:p>
    <w:p w14:paraId="437C8F4F" w14:textId="77777777" w:rsidR="00E315B3" w:rsidRPr="00E315B3" w:rsidRDefault="00E315B3" w:rsidP="00E315B3">
      <w:pPr>
        <w:numPr>
          <w:ilvl w:val="0"/>
          <w:numId w:val="19"/>
        </w:numPr>
      </w:pPr>
      <w:r w:rsidRPr="00E315B3">
        <w:t>Riesgos iniciales identificados:</w:t>
      </w:r>
    </w:p>
    <w:p w14:paraId="1C92A304" w14:textId="77777777" w:rsidR="00E315B3" w:rsidRPr="00E315B3" w:rsidRDefault="00E315B3" w:rsidP="00E315B3">
      <w:pPr>
        <w:numPr>
          <w:ilvl w:val="1"/>
          <w:numId w:val="19"/>
        </w:numPr>
      </w:pPr>
      <w:r w:rsidRPr="00E315B3">
        <w:t>R1 Incompatibilidad entre sensores y APIs</w:t>
      </w:r>
    </w:p>
    <w:p w14:paraId="408497B6" w14:textId="77777777" w:rsidR="00E315B3" w:rsidRPr="00E315B3" w:rsidRDefault="00E315B3" w:rsidP="00E315B3">
      <w:pPr>
        <w:numPr>
          <w:ilvl w:val="1"/>
          <w:numId w:val="19"/>
        </w:numPr>
      </w:pPr>
      <w:r w:rsidRPr="00E315B3">
        <w:t>R2 Retrasos en entregas (desarrollo/pruebas)</w:t>
      </w:r>
    </w:p>
    <w:p w14:paraId="39BCF0FE" w14:textId="77777777" w:rsidR="00E315B3" w:rsidRPr="00E315B3" w:rsidRDefault="00E315B3" w:rsidP="00E315B3">
      <w:pPr>
        <w:numPr>
          <w:ilvl w:val="1"/>
          <w:numId w:val="19"/>
        </w:numPr>
      </w:pPr>
      <w:r w:rsidRPr="00E315B3">
        <w:t>R3 Fallos de comunicación entre app y dispositivos IoT</w:t>
      </w:r>
    </w:p>
    <w:p w14:paraId="20760BE1" w14:textId="77777777" w:rsidR="00E315B3" w:rsidRPr="00E315B3" w:rsidRDefault="00E315B3" w:rsidP="00E315B3">
      <w:pPr>
        <w:numPr>
          <w:ilvl w:val="1"/>
          <w:numId w:val="19"/>
        </w:numPr>
      </w:pPr>
      <w:r w:rsidRPr="00E315B3">
        <w:t>R4 Vulnerabilidades de seguridad / fuga de datos</w:t>
      </w:r>
    </w:p>
    <w:p w14:paraId="6BB274C7" w14:textId="77777777" w:rsidR="00E315B3" w:rsidRPr="00E315B3" w:rsidRDefault="00E315B3" w:rsidP="00E315B3">
      <w:pPr>
        <w:numPr>
          <w:ilvl w:val="1"/>
          <w:numId w:val="19"/>
        </w:numPr>
      </w:pPr>
      <w:r w:rsidRPr="00E315B3">
        <w:t>R5 Falta de datos de pruebas (sensores insuficientes)</w:t>
      </w:r>
    </w:p>
    <w:p w14:paraId="3836DF6B" w14:textId="77777777" w:rsidR="00E315B3" w:rsidRPr="00E315B3" w:rsidRDefault="00E315B3" w:rsidP="00E315B3">
      <w:pPr>
        <w:numPr>
          <w:ilvl w:val="1"/>
          <w:numId w:val="19"/>
        </w:numPr>
      </w:pPr>
      <w:r w:rsidRPr="00E315B3">
        <w:t>R6 Ausencia temporal de miembros clave del equipo</w:t>
      </w:r>
    </w:p>
    <w:p w14:paraId="2C25DFB8" w14:textId="74E92F45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Análisis Cualitativo de Riesgos</w:t>
      </w:r>
    </w:p>
    <w:p w14:paraId="44045323" w14:textId="77777777" w:rsidR="00E315B3" w:rsidRPr="00E315B3" w:rsidRDefault="00E315B3" w:rsidP="00E315B3">
      <w:pPr>
        <w:numPr>
          <w:ilvl w:val="0"/>
          <w:numId w:val="20"/>
        </w:numPr>
      </w:pPr>
      <w:r w:rsidRPr="00E315B3">
        <w:t>Establecer matriz Probabilidad x Impacto: Probabilidad (Baja/Media/Alta), Impacto (Bajo/Medio/Alto).</w:t>
      </w:r>
    </w:p>
    <w:p w14:paraId="74F62F84" w14:textId="77777777" w:rsidR="00E315B3" w:rsidRPr="00E315B3" w:rsidRDefault="00E315B3" w:rsidP="00E315B3">
      <w:pPr>
        <w:numPr>
          <w:ilvl w:val="0"/>
          <w:numId w:val="20"/>
        </w:numPr>
      </w:pPr>
      <w:r w:rsidRPr="00E315B3">
        <w:t>Ejemplo de priorización:</w:t>
      </w:r>
    </w:p>
    <w:p w14:paraId="2389D7F0" w14:textId="77777777" w:rsidR="00E315B3" w:rsidRPr="00E315B3" w:rsidRDefault="00E315B3" w:rsidP="00E315B3">
      <w:pPr>
        <w:numPr>
          <w:ilvl w:val="1"/>
          <w:numId w:val="20"/>
        </w:numPr>
      </w:pPr>
      <w:r w:rsidRPr="00E315B3">
        <w:t>R1: Probabilidad Media, Impacto Alto =&gt; Prioridad Alta</w:t>
      </w:r>
    </w:p>
    <w:p w14:paraId="7A2DC4C3" w14:textId="77777777" w:rsidR="00E315B3" w:rsidRPr="00E315B3" w:rsidRDefault="00E315B3" w:rsidP="00E315B3">
      <w:pPr>
        <w:numPr>
          <w:ilvl w:val="1"/>
          <w:numId w:val="20"/>
        </w:numPr>
      </w:pPr>
      <w:r w:rsidRPr="00E315B3">
        <w:t>R2: Probabilidad Media, Impacto Medio =&gt; Prioridad Media</w:t>
      </w:r>
    </w:p>
    <w:p w14:paraId="48E25DFB" w14:textId="77777777" w:rsidR="00E315B3" w:rsidRPr="00E315B3" w:rsidRDefault="00E315B3" w:rsidP="00E315B3">
      <w:pPr>
        <w:numPr>
          <w:ilvl w:val="1"/>
          <w:numId w:val="20"/>
        </w:numPr>
      </w:pPr>
      <w:r w:rsidRPr="00E315B3">
        <w:t>R4: Probabilidad Baja, Impacto Alto =&gt; Prioridad Media/Alta</w:t>
      </w:r>
    </w:p>
    <w:p w14:paraId="50A91B7B" w14:textId="77777777" w:rsidR="00E315B3" w:rsidRDefault="00E315B3">
      <w:pPr>
        <w:rPr>
          <w:b/>
          <w:bCs/>
        </w:rPr>
      </w:pPr>
      <w:r>
        <w:rPr>
          <w:b/>
          <w:bCs/>
        </w:rPr>
        <w:br w:type="page"/>
      </w:r>
    </w:p>
    <w:p w14:paraId="2F3C4AD0" w14:textId="632017CC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lastRenderedPageBreak/>
        <w:t>Análisis Cuantitativo de Riesgos</w:t>
      </w:r>
    </w:p>
    <w:p w14:paraId="370EE53B" w14:textId="77777777" w:rsidR="00E315B3" w:rsidRPr="00E315B3" w:rsidRDefault="00E315B3" w:rsidP="00E315B3">
      <w:pPr>
        <w:numPr>
          <w:ilvl w:val="0"/>
          <w:numId w:val="21"/>
        </w:numPr>
      </w:pPr>
      <w:r w:rsidRPr="00E315B3">
        <w:t>Para riesgos críticos calcular EMV (Expected Monetary Value) cuando sea aplicable: EMV = Probabilidad * Impacto (€).</w:t>
      </w:r>
    </w:p>
    <w:p w14:paraId="517CCFD7" w14:textId="77777777" w:rsidR="00E315B3" w:rsidRPr="00E315B3" w:rsidRDefault="00E315B3" w:rsidP="00E315B3">
      <w:pPr>
        <w:numPr>
          <w:ilvl w:val="0"/>
          <w:numId w:val="21"/>
        </w:numPr>
      </w:pPr>
      <w:r w:rsidRPr="00E315B3">
        <w:t>Ejemplo: R1 (compatibilidad) — si impacto estimado = 2.000 € y prob = 0.3 =&gt; EMV = 600 €.</w:t>
      </w:r>
    </w:p>
    <w:p w14:paraId="3C3E48EB" w14:textId="77777777" w:rsidR="00E315B3" w:rsidRPr="00E315B3" w:rsidRDefault="00E315B3" w:rsidP="00E315B3">
      <w:pPr>
        <w:numPr>
          <w:ilvl w:val="0"/>
          <w:numId w:val="21"/>
        </w:numPr>
      </w:pPr>
      <w:r w:rsidRPr="00E315B3">
        <w:t>Uso de análisis de sensibilidad para evaluar efectos acumulados sobre presupuesto y calendario.</w:t>
      </w:r>
    </w:p>
    <w:p w14:paraId="3C8022BB" w14:textId="239A6A98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Planificar la Respuesta a los Riesgos</w:t>
      </w:r>
    </w:p>
    <w:p w14:paraId="1AC14517" w14:textId="77777777" w:rsidR="00E315B3" w:rsidRPr="00E315B3" w:rsidRDefault="00E315B3" w:rsidP="00E315B3">
      <w:pPr>
        <w:numPr>
          <w:ilvl w:val="0"/>
          <w:numId w:val="22"/>
        </w:numPr>
      </w:pPr>
      <w:r w:rsidRPr="00E315B3">
        <w:t>Estrategias según tipo de riesgo:</w:t>
      </w:r>
    </w:p>
    <w:p w14:paraId="03843F14" w14:textId="77777777" w:rsidR="00E315B3" w:rsidRPr="00E315B3" w:rsidRDefault="00E315B3" w:rsidP="00E315B3">
      <w:pPr>
        <w:numPr>
          <w:ilvl w:val="1"/>
          <w:numId w:val="22"/>
        </w:numPr>
      </w:pPr>
      <w:r w:rsidRPr="00E315B3">
        <w:t>Evitar: cambiar el enfoque técnico si un sensor no es compatible.</w:t>
      </w:r>
    </w:p>
    <w:p w14:paraId="03748CD4" w14:textId="77777777" w:rsidR="00E315B3" w:rsidRPr="00E315B3" w:rsidRDefault="00E315B3" w:rsidP="00E315B3">
      <w:pPr>
        <w:numPr>
          <w:ilvl w:val="1"/>
          <w:numId w:val="22"/>
        </w:numPr>
      </w:pPr>
      <w:r w:rsidRPr="00E315B3">
        <w:t>Mitigar: pruebas tempranas de integración, desarrollar adaptadores de protocolo.</w:t>
      </w:r>
    </w:p>
    <w:p w14:paraId="294B5B16" w14:textId="77777777" w:rsidR="00E315B3" w:rsidRPr="00E315B3" w:rsidRDefault="00E315B3" w:rsidP="00E315B3">
      <w:pPr>
        <w:numPr>
          <w:ilvl w:val="1"/>
          <w:numId w:val="22"/>
        </w:numPr>
      </w:pPr>
      <w:r w:rsidRPr="00E315B3">
        <w:t>Transferir: contratar servicio externo de integración (si el costo/beneficio lo justifica).</w:t>
      </w:r>
    </w:p>
    <w:p w14:paraId="4AF22C10" w14:textId="77777777" w:rsidR="00E315B3" w:rsidRPr="00E315B3" w:rsidRDefault="00E315B3" w:rsidP="00E315B3">
      <w:pPr>
        <w:numPr>
          <w:ilvl w:val="1"/>
          <w:numId w:val="22"/>
        </w:numPr>
      </w:pPr>
      <w:r w:rsidRPr="00E315B3">
        <w:t>Aceptar: riesgos de bajo impacto sin coste razonable de mitigación.</w:t>
      </w:r>
    </w:p>
    <w:p w14:paraId="4791502F" w14:textId="08797992" w:rsidR="00E315B3" w:rsidRPr="00E315B3" w:rsidRDefault="00E315B3" w:rsidP="00E315B3">
      <w:pPr>
        <w:numPr>
          <w:ilvl w:val="0"/>
          <w:numId w:val="22"/>
        </w:numPr>
      </w:pPr>
      <w:r w:rsidRPr="00E315B3">
        <w:t>Plan de contingencia: definir acciones concretas</w:t>
      </w:r>
      <w:r>
        <w:t xml:space="preserve"> y</w:t>
      </w:r>
      <w:r w:rsidRPr="00E315B3">
        <w:t xml:space="preserve"> responsables</w:t>
      </w:r>
    </w:p>
    <w:p w14:paraId="2CBDE3E8" w14:textId="5F82D445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Implementar Respuestas a los Riesgos</w:t>
      </w:r>
    </w:p>
    <w:p w14:paraId="0BDD040A" w14:textId="77777777" w:rsidR="00E315B3" w:rsidRPr="00E315B3" w:rsidRDefault="00E315B3" w:rsidP="00E315B3">
      <w:pPr>
        <w:numPr>
          <w:ilvl w:val="0"/>
          <w:numId w:val="23"/>
        </w:numPr>
      </w:pPr>
      <w:r w:rsidRPr="00E315B3">
        <w:t>Acciones: ejecutar planes de mitigación, registrar resultados en el risk register, comunicar cambios al patrocinador.</w:t>
      </w:r>
    </w:p>
    <w:p w14:paraId="38F0B56C" w14:textId="77777777" w:rsidR="00E315B3" w:rsidRPr="00E315B3" w:rsidRDefault="00E315B3" w:rsidP="00E315B3">
      <w:pPr>
        <w:numPr>
          <w:ilvl w:val="0"/>
          <w:numId w:val="23"/>
        </w:numPr>
      </w:pPr>
      <w:r w:rsidRPr="00E315B3">
        <w:t>Seguimiento: revisar riesgos en reuniones semanales; actualizar probabilidad/impacto; cerrar riesgos cuando se mitiguen.</w:t>
      </w:r>
    </w:p>
    <w:p w14:paraId="056CB625" w14:textId="58639CDF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 w:rsidRPr="00E315B3">
        <w:rPr>
          <w:b/>
          <w:bCs/>
          <w:color w:val="548DD4" w:themeColor="text2" w:themeTint="99"/>
        </w:rPr>
        <w:t>Plantilla de registro de riesgos</w:t>
      </w:r>
    </w:p>
    <w:p w14:paraId="36946EFA" w14:textId="48892A5C" w:rsidR="00E315B3" w:rsidRPr="00E315B3" w:rsidRDefault="00E315B3" w:rsidP="00E315B3">
      <w:pPr>
        <w:numPr>
          <w:ilvl w:val="0"/>
          <w:numId w:val="24"/>
        </w:numPr>
      </w:pPr>
      <w:r w:rsidRPr="00E315B3">
        <w:t>Id | Riesgo | Descripción | Probabilidad | Impacto | Prioridad | EMV (€) | Respuesta planificada | Propietario | Estado | Fecha revisión.</w:t>
      </w:r>
    </w:p>
    <w:p w14:paraId="777235DF" w14:textId="6421914B" w:rsidR="00E315B3" w:rsidRPr="00E315B3" w:rsidRDefault="00E315B3" w:rsidP="00E315B3">
      <w:pPr>
        <w:pStyle w:val="Prrafodelista"/>
        <w:numPr>
          <w:ilvl w:val="0"/>
          <w:numId w:val="26"/>
        </w:numPr>
        <w:rPr>
          <w:color w:val="548DD4" w:themeColor="text2" w:themeTint="99"/>
        </w:rPr>
      </w:pPr>
      <w:r>
        <w:rPr>
          <w:b/>
          <w:bCs/>
          <w:color w:val="548DD4" w:themeColor="text2" w:themeTint="99"/>
        </w:rPr>
        <w:t>Medidas preventivas</w:t>
      </w:r>
    </w:p>
    <w:p w14:paraId="7389B008" w14:textId="77777777" w:rsidR="00E315B3" w:rsidRPr="00E315B3" w:rsidRDefault="00E315B3" w:rsidP="00E315B3">
      <w:pPr>
        <w:numPr>
          <w:ilvl w:val="0"/>
          <w:numId w:val="25"/>
        </w:numPr>
      </w:pPr>
      <w:r w:rsidRPr="00E315B3">
        <w:t>Realizar pruebas de compatibilidad con un set reducido de sensores en la fase de diseño.</w:t>
      </w:r>
    </w:p>
    <w:p w14:paraId="04332536" w14:textId="77777777" w:rsidR="00E315B3" w:rsidRPr="00E315B3" w:rsidRDefault="00E315B3" w:rsidP="00E315B3">
      <w:pPr>
        <w:numPr>
          <w:ilvl w:val="0"/>
          <w:numId w:val="25"/>
        </w:numPr>
      </w:pPr>
      <w:r w:rsidRPr="00E315B3">
        <w:t>Implementar autenticación y cifrado desde la primera versión del backend.</w:t>
      </w:r>
    </w:p>
    <w:p w14:paraId="0C8048D6" w14:textId="778A902C" w:rsidR="0020278B" w:rsidRDefault="00E315B3" w:rsidP="00614850">
      <w:pPr>
        <w:numPr>
          <w:ilvl w:val="0"/>
          <w:numId w:val="25"/>
        </w:numPr>
      </w:pPr>
      <w:r w:rsidRPr="00E315B3">
        <w:t>Reservar un pequeño colchón presupuestario para adquisiciones urgentes de sensores</w:t>
      </w:r>
    </w:p>
    <w:p w14:paraId="4C077B38" w14:textId="5AC4CA1E" w:rsidR="0020278B" w:rsidRDefault="0020278B" w:rsidP="0020278B">
      <w:pPr>
        <w:pStyle w:val="Prrafodelista"/>
        <w:numPr>
          <w:ilvl w:val="0"/>
          <w:numId w:val="26"/>
        </w:numPr>
        <w:rPr>
          <w:b/>
          <w:bCs/>
          <w:color w:val="548DD4" w:themeColor="text2" w:themeTint="99"/>
        </w:rPr>
      </w:pPr>
      <w:r>
        <w:br w:type="page"/>
      </w:r>
      <w:r w:rsidRPr="0020278B">
        <w:rPr>
          <w:b/>
          <w:bCs/>
          <w:color w:val="548DD4" w:themeColor="text2" w:themeTint="99"/>
        </w:rPr>
        <w:lastRenderedPageBreak/>
        <w:t>Metodología y Herramientas</w:t>
      </w:r>
    </w:p>
    <w:p w14:paraId="6112B395" w14:textId="77777777" w:rsidR="0020278B" w:rsidRDefault="0020278B" w:rsidP="0020278B">
      <w:pPr>
        <w:pStyle w:val="Prrafodelista"/>
        <w:rPr>
          <w:b/>
          <w:bCs/>
          <w:color w:val="548DD4" w:themeColor="text2" w:themeTint="99"/>
        </w:rPr>
      </w:pPr>
    </w:p>
    <w:p w14:paraId="197F6A84" w14:textId="77777777" w:rsidR="0020278B" w:rsidRPr="0020278B" w:rsidRDefault="0020278B" w:rsidP="0020278B">
      <w:pPr>
        <w:pStyle w:val="Prrafodelista"/>
        <w:numPr>
          <w:ilvl w:val="0"/>
          <w:numId w:val="27"/>
        </w:numPr>
      </w:pPr>
      <w:r w:rsidRPr="0020278B">
        <w:t>Enfoque Principal: Se adoptará un enfoque cualitativo para la priorización inicial, complementado con análisis cuantitativo (EMV) para los riesgos de mayor impacto en el cronograma.</w:t>
      </w:r>
    </w:p>
    <w:p w14:paraId="48260ED0" w14:textId="788DA76E" w:rsidR="0020278B" w:rsidRPr="0020278B" w:rsidRDefault="0020278B" w:rsidP="0020278B">
      <w:pPr>
        <w:pStyle w:val="Prrafodelista"/>
        <w:numPr>
          <w:ilvl w:val="0"/>
          <w:numId w:val="27"/>
        </w:numPr>
      </w:pPr>
      <w:r w:rsidRPr="0020278B">
        <w:t xml:space="preserve">Frecuencia de Revisión: Los riesgos identificados se revisarán </w:t>
      </w:r>
      <w:r>
        <w:t>cada 10 dias</w:t>
      </w:r>
      <w:r w:rsidRPr="0020278B">
        <w:t xml:space="preserve"> en reuniones dedicadas, con un seguimiento continuo en las reuniones semanales de equipo.</w:t>
      </w:r>
    </w:p>
    <w:p w14:paraId="771318A0" w14:textId="77777777" w:rsidR="0020278B" w:rsidRPr="0020278B" w:rsidRDefault="0020278B" w:rsidP="0020278B">
      <w:pPr>
        <w:pStyle w:val="Prrafodelista"/>
        <w:numPr>
          <w:ilvl w:val="0"/>
          <w:numId w:val="27"/>
        </w:numPr>
        <w:rPr>
          <w:b/>
          <w:bCs/>
        </w:rPr>
      </w:pPr>
      <w:r w:rsidRPr="0020278B">
        <w:rPr>
          <w:b/>
          <w:bCs/>
        </w:rPr>
        <w:t>Herramientas:</w:t>
      </w:r>
    </w:p>
    <w:p w14:paraId="32A4B4E0" w14:textId="136501A3" w:rsidR="0020278B" w:rsidRPr="0020278B" w:rsidRDefault="0020278B" w:rsidP="0020278B">
      <w:pPr>
        <w:pStyle w:val="Prrafodelista"/>
        <w:numPr>
          <w:ilvl w:val="1"/>
          <w:numId w:val="27"/>
        </w:numPr>
      </w:pPr>
      <w:r w:rsidRPr="0020278B">
        <w:t xml:space="preserve">Identificación: Listas de verificación (checklists) específicas para proyectos IoT y </w:t>
      </w:r>
      <w:r>
        <w:t>reuniones</w:t>
      </w:r>
      <w:r w:rsidRPr="0020278B">
        <w:t xml:space="preserve"> con el equipo.</w:t>
      </w:r>
    </w:p>
    <w:p w14:paraId="73BBCDDD" w14:textId="77777777" w:rsidR="0020278B" w:rsidRPr="0020278B" w:rsidRDefault="0020278B" w:rsidP="0020278B">
      <w:pPr>
        <w:pStyle w:val="Prrafodelista"/>
        <w:numPr>
          <w:ilvl w:val="1"/>
          <w:numId w:val="27"/>
        </w:numPr>
      </w:pPr>
      <w:r w:rsidRPr="0020278B">
        <w:t>Registro y Seguimiento: Se utilizará una hoja de cálculo Excel compartida como registro de riesgos oficial, accesible para todo el equipo.</w:t>
      </w:r>
    </w:p>
    <w:p w14:paraId="06D584FC" w14:textId="77777777" w:rsidR="0020278B" w:rsidRPr="0020278B" w:rsidRDefault="0020278B" w:rsidP="0020278B">
      <w:pPr>
        <w:pStyle w:val="Prrafodelista"/>
        <w:numPr>
          <w:ilvl w:val="1"/>
          <w:numId w:val="27"/>
        </w:numPr>
      </w:pPr>
      <w:r w:rsidRPr="0020278B">
        <w:t>Comunicación: Microsoft Teams para alertas inmediatas y correo electrónico para informes formales.</w:t>
      </w:r>
    </w:p>
    <w:p w14:paraId="47823DFE" w14:textId="77777777" w:rsidR="0020278B" w:rsidRDefault="0020278B" w:rsidP="0020278B">
      <w:pPr>
        <w:pStyle w:val="Prrafodelista"/>
        <w:rPr>
          <w:b/>
          <w:bCs/>
          <w:color w:val="548DD4" w:themeColor="text2" w:themeTint="99"/>
        </w:rPr>
      </w:pPr>
    </w:p>
    <w:p w14:paraId="4932FEEC" w14:textId="495950A0" w:rsidR="0020278B" w:rsidRDefault="0020278B" w:rsidP="0020278B">
      <w:pPr>
        <w:pStyle w:val="Prrafodelista"/>
        <w:numPr>
          <w:ilvl w:val="0"/>
          <w:numId w:val="26"/>
        </w:num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Roles y Responsabilidades</w:t>
      </w:r>
    </w:p>
    <w:p w14:paraId="1AFB9B4A" w14:textId="77777777" w:rsidR="0020278B" w:rsidRPr="0020278B" w:rsidRDefault="0020278B" w:rsidP="0020278B">
      <w:pPr>
        <w:numPr>
          <w:ilvl w:val="0"/>
          <w:numId w:val="28"/>
        </w:numPr>
      </w:pPr>
      <w:r w:rsidRPr="0020278B">
        <w:t>Jefe de Proyecto (Nasratullah Jabarkhil): Es el responsable final de coordinar todo el proceso de gestión de riesgos, aprobar los planes de respuesta y comunicar el estado al patrocinador.</w:t>
      </w:r>
    </w:p>
    <w:p w14:paraId="41812D97" w14:textId="77777777" w:rsidR="0020278B" w:rsidRPr="0020278B" w:rsidRDefault="0020278B" w:rsidP="0020278B">
      <w:pPr>
        <w:numPr>
          <w:ilvl w:val="0"/>
          <w:numId w:val="28"/>
        </w:numPr>
      </w:pPr>
      <w:r w:rsidRPr="0020278B">
        <w:t>Analista QA (Rol a asignar dentro del equipo): Responsable de identificar y vigilar los riesgos relacionados con la calidad del software, la usabilidad de la app y la integridad de los datos.</w:t>
      </w:r>
    </w:p>
    <w:p w14:paraId="13BECD2E" w14:textId="77777777" w:rsidR="0020278B" w:rsidRPr="0020278B" w:rsidRDefault="0020278B" w:rsidP="0020278B">
      <w:pPr>
        <w:numPr>
          <w:ilvl w:val="0"/>
          <w:numId w:val="28"/>
        </w:numPr>
      </w:pPr>
      <w:r w:rsidRPr="0020278B">
        <w:t>Desarrollador (Diego Santos - Frontend / Nasratullah Jabarkhil - Backend): Identificarán riesgos técnicos específicos de sus áreas, como problemas de integración de APIs (R1), fallos de comunicación (R3) o vulnerabilidades de seguridad (R4).</w:t>
      </w:r>
    </w:p>
    <w:p w14:paraId="53A3B7F0" w14:textId="11F90D50" w:rsidR="0020278B" w:rsidRPr="0020278B" w:rsidRDefault="0020278B" w:rsidP="0020278B">
      <w:pPr>
        <w:numPr>
          <w:ilvl w:val="0"/>
          <w:numId w:val="28"/>
        </w:numPr>
      </w:pPr>
      <w:r w:rsidRPr="0020278B">
        <w:t>Diseñador UX/UI (Anderson): Identificará riesgos asociados a la experiencia de usuario y la adopción de la aplicación.</w:t>
      </w:r>
    </w:p>
    <w:p w14:paraId="25B8508B" w14:textId="2E3A8662" w:rsidR="0020278B" w:rsidRDefault="0028608A" w:rsidP="0020278B">
      <w:pPr>
        <w:pStyle w:val="Prrafodelista"/>
        <w:numPr>
          <w:ilvl w:val="0"/>
          <w:numId w:val="26"/>
        </w:num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 xml:space="preserve">Tolerancia a los Riesgos </w:t>
      </w:r>
    </w:p>
    <w:p w14:paraId="201803F7" w14:textId="77777777" w:rsidR="0028608A" w:rsidRDefault="0028608A" w:rsidP="0028608A">
      <w:pPr>
        <w:pStyle w:val="Prrafodelista"/>
        <w:rPr>
          <w:b/>
          <w:bCs/>
          <w:color w:val="548DD4" w:themeColor="text2" w:themeTint="99"/>
        </w:rPr>
      </w:pPr>
    </w:p>
    <w:p w14:paraId="0C9DFC89" w14:textId="6DDC9169" w:rsidR="0028608A" w:rsidRPr="0028608A" w:rsidRDefault="0028608A" w:rsidP="0028608A">
      <w:pPr>
        <w:pStyle w:val="Prrafodelista"/>
        <w:numPr>
          <w:ilvl w:val="0"/>
          <w:numId w:val="30"/>
        </w:numPr>
        <w:rPr>
          <w:rFonts w:eastAsia="Times New Roman" w:cs="Arial"/>
          <w:lang w:eastAsia="es-ES"/>
        </w:rPr>
      </w:pPr>
      <w:r w:rsidRPr="0028608A">
        <w:rPr>
          <w:rFonts w:eastAsia="Times New Roman" w:cs="Arial"/>
          <w:b/>
          <w:bCs/>
          <w:lang w:eastAsia="es-ES"/>
        </w:rPr>
        <w:t>Patrocinadora (María López):</w:t>
      </w:r>
      <w:r w:rsidRPr="0028608A">
        <w:rPr>
          <w:rFonts w:eastAsia="Times New Roman" w:cs="Arial"/>
          <w:lang w:eastAsia="es-ES"/>
        </w:rPr>
        <w:t xml:space="preserve"> Tolerancia Baja para riesgos legales y de presupuesto. No acepta retrasos en la entrega final que comprometan los objetivos del negocio.</w:t>
      </w:r>
    </w:p>
    <w:p w14:paraId="72FBF953" w14:textId="5B6A7D9E" w:rsidR="0028608A" w:rsidRPr="0028608A" w:rsidRDefault="0028608A" w:rsidP="0028608A">
      <w:pPr>
        <w:pStyle w:val="Prrafodelista"/>
        <w:numPr>
          <w:ilvl w:val="0"/>
          <w:numId w:val="30"/>
        </w:numPr>
        <w:rPr>
          <w:rFonts w:eastAsia="Times New Roman" w:cs="Arial"/>
          <w:lang w:eastAsia="es-ES"/>
        </w:rPr>
      </w:pPr>
      <w:r w:rsidRPr="0028608A">
        <w:rPr>
          <w:rFonts w:eastAsia="Times New Roman" w:cs="Arial"/>
          <w:b/>
          <w:bCs/>
          <w:lang w:eastAsia="es-ES"/>
        </w:rPr>
        <w:t>Jefe de Proyecto (Nasratullah Jabarkhil):</w:t>
      </w:r>
      <w:r w:rsidRPr="0028608A">
        <w:rPr>
          <w:rFonts w:eastAsia="Times New Roman" w:cs="Arial"/>
          <w:lang w:eastAsia="es-ES"/>
        </w:rPr>
        <w:t xml:space="preserve"> Tolerancia Moderada para riesgos técnicos y de cronograma. Dispuesto a aceptar desviaciones si se proponen planes de mitigación claros y justificados.</w:t>
      </w:r>
    </w:p>
    <w:p w14:paraId="63D1828F" w14:textId="41C352CB" w:rsidR="00C57DFB" w:rsidRPr="0028608A" w:rsidRDefault="0028608A" w:rsidP="0028608A">
      <w:pPr>
        <w:pStyle w:val="Prrafodelista"/>
        <w:numPr>
          <w:ilvl w:val="0"/>
          <w:numId w:val="30"/>
        </w:numPr>
      </w:pPr>
      <w:r w:rsidRPr="0028608A">
        <w:rPr>
          <w:rFonts w:eastAsia="Times New Roman" w:cs="Arial"/>
          <w:b/>
          <w:bCs/>
          <w:lang w:eastAsia="es-ES"/>
        </w:rPr>
        <w:t>Equipo de Desarrollo:</w:t>
      </w:r>
      <w:r w:rsidRPr="0028608A">
        <w:rPr>
          <w:rFonts w:eastAsia="Times New Roman" w:cs="Arial"/>
          <w:lang w:eastAsia="es-ES"/>
        </w:rPr>
        <w:t xml:space="preserve"> Tolerancia Moderada para riesgos de recursos humanos, confían en que la formación y el soporte interno pueden mitigarlos.</w:t>
      </w:r>
    </w:p>
    <w:sectPr w:rsidR="00C57DFB" w:rsidRPr="002860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50802"/>
    <w:multiLevelType w:val="hybridMultilevel"/>
    <w:tmpl w:val="F9BE8EE2"/>
    <w:lvl w:ilvl="0" w:tplc="854661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691110"/>
    <w:multiLevelType w:val="multilevel"/>
    <w:tmpl w:val="9CE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817DF"/>
    <w:multiLevelType w:val="multilevel"/>
    <w:tmpl w:val="D0A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E1AA5"/>
    <w:multiLevelType w:val="multilevel"/>
    <w:tmpl w:val="CCB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41DF6"/>
    <w:multiLevelType w:val="multilevel"/>
    <w:tmpl w:val="4842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2F253E"/>
    <w:multiLevelType w:val="hybridMultilevel"/>
    <w:tmpl w:val="E0F232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C2C54"/>
    <w:multiLevelType w:val="multilevel"/>
    <w:tmpl w:val="8E7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60B01"/>
    <w:multiLevelType w:val="multilevel"/>
    <w:tmpl w:val="B8D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1142A"/>
    <w:multiLevelType w:val="multilevel"/>
    <w:tmpl w:val="AB1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50161"/>
    <w:multiLevelType w:val="multilevel"/>
    <w:tmpl w:val="484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118C8"/>
    <w:multiLevelType w:val="multilevel"/>
    <w:tmpl w:val="A71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F15F3"/>
    <w:multiLevelType w:val="multilevel"/>
    <w:tmpl w:val="9D7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D2BFD"/>
    <w:multiLevelType w:val="multilevel"/>
    <w:tmpl w:val="AA9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B368E"/>
    <w:multiLevelType w:val="multilevel"/>
    <w:tmpl w:val="271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E3AFC"/>
    <w:multiLevelType w:val="multilevel"/>
    <w:tmpl w:val="4FC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F1104"/>
    <w:multiLevelType w:val="multilevel"/>
    <w:tmpl w:val="D03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45191"/>
    <w:multiLevelType w:val="multilevel"/>
    <w:tmpl w:val="CF3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175FC3"/>
    <w:multiLevelType w:val="hybridMultilevel"/>
    <w:tmpl w:val="D766F3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D3579"/>
    <w:multiLevelType w:val="multilevel"/>
    <w:tmpl w:val="526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25F31"/>
    <w:multiLevelType w:val="multilevel"/>
    <w:tmpl w:val="2DC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575C78"/>
    <w:multiLevelType w:val="multilevel"/>
    <w:tmpl w:val="4F4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7512">
    <w:abstractNumId w:val="8"/>
  </w:num>
  <w:num w:numId="2" w16cid:durableId="75246847">
    <w:abstractNumId w:val="6"/>
  </w:num>
  <w:num w:numId="3" w16cid:durableId="1234968158">
    <w:abstractNumId w:val="5"/>
  </w:num>
  <w:num w:numId="4" w16cid:durableId="543906843">
    <w:abstractNumId w:val="4"/>
  </w:num>
  <w:num w:numId="5" w16cid:durableId="1634746416">
    <w:abstractNumId w:val="7"/>
  </w:num>
  <w:num w:numId="6" w16cid:durableId="545263124">
    <w:abstractNumId w:val="3"/>
  </w:num>
  <w:num w:numId="7" w16cid:durableId="274795513">
    <w:abstractNumId w:val="2"/>
  </w:num>
  <w:num w:numId="8" w16cid:durableId="1063917051">
    <w:abstractNumId w:val="1"/>
  </w:num>
  <w:num w:numId="9" w16cid:durableId="2065565807">
    <w:abstractNumId w:val="0"/>
  </w:num>
  <w:num w:numId="10" w16cid:durableId="334457797">
    <w:abstractNumId w:val="22"/>
  </w:num>
  <w:num w:numId="11" w16cid:durableId="758332335">
    <w:abstractNumId w:val="15"/>
  </w:num>
  <w:num w:numId="12" w16cid:durableId="1833597284">
    <w:abstractNumId w:val="27"/>
  </w:num>
  <w:num w:numId="13" w16cid:durableId="1866557421">
    <w:abstractNumId w:val="21"/>
  </w:num>
  <w:num w:numId="14" w16cid:durableId="929434856">
    <w:abstractNumId w:val="19"/>
  </w:num>
  <w:num w:numId="15" w16cid:durableId="2051218742">
    <w:abstractNumId w:val="18"/>
  </w:num>
  <w:num w:numId="16" w16cid:durableId="796992171">
    <w:abstractNumId w:val="20"/>
  </w:num>
  <w:num w:numId="17" w16cid:durableId="285552488">
    <w:abstractNumId w:val="26"/>
  </w:num>
  <w:num w:numId="18" w16cid:durableId="1892419537">
    <w:abstractNumId w:val="16"/>
  </w:num>
  <w:num w:numId="19" w16cid:durableId="29456135">
    <w:abstractNumId w:val="11"/>
  </w:num>
  <w:num w:numId="20" w16cid:durableId="868952083">
    <w:abstractNumId w:val="10"/>
  </w:num>
  <w:num w:numId="21" w16cid:durableId="1883592445">
    <w:abstractNumId w:val="12"/>
  </w:num>
  <w:num w:numId="22" w16cid:durableId="302927669">
    <w:abstractNumId w:val="24"/>
  </w:num>
  <w:num w:numId="23" w16cid:durableId="829561899">
    <w:abstractNumId w:val="29"/>
  </w:num>
  <w:num w:numId="24" w16cid:durableId="1346128162">
    <w:abstractNumId w:val="17"/>
  </w:num>
  <w:num w:numId="25" w16cid:durableId="739671498">
    <w:abstractNumId w:val="23"/>
  </w:num>
  <w:num w:numId="26" w16cid:durableId="1074625435">
    <w:abstractNumId w:val="9"/>
  </w:num>
  <w:num w:numId="27" w16cid:durableId="2008168864">
    <w:abstractNumId w:val="13"/>
  </w:num>
  <w:num w:numId="28" w16cid:durableId="127213951">
    <w:abstractNumId w:val="28"/>
  </w:num>
  <w:num w:numId="29" w16cid:durableId="68383219">
    <w:abstractNumId w:val="25"/>
  </w:num>
  <w:num w:numId="30" w16cid:durableId="7250340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78B"/>
    <w:rsid w:val="0028608A"/>
    <w:rsid w:val="0029639D"/>
    <w:rsid w:val="002D73DA"/>
    <w:rsid w:val="002F4FB2"/>
    <w:rsid w:val="00326F90"/>
    <w:rsid w:val="00614850"/>
    <w:rsid w:val="008B393E"/>
    <w:rsid w:val="00977FEA"/>
    <w:rsid w:val="00AA1D8D"/>
    <w:rsid w:val="00B47730"/>
    <w:rsid w:val="00B871F6"/>
    <w:rsid w:val="00C57DFB"/>
    <w:rsid w:val="00CB0664"/>
    <w:rsid w:val="00E31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D7398"/>
  <w14:defaultImageDpi w14:val="330"/>
  <w15:docId w15:val="{FADD36AF-3D4E-4BEC-9AC3-EFD74727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850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-start">
    <w:name w:val="text-start"/>
    <w:basedOn w:val="Normal"/>
    <w:rsid w:val="0028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Santos Muñoz</cp:lastModifiedBy>
  <cp:revision>5</cp:revision>
  <dcterms:created xsi:type="dcterms:W3CDTF">2013-12-23T23:15:00Z</dcterms:created>
  <dcterms:modified xsi:type="dcterms:W3CDTF">2025-11-26T15:32:00Z</dcterms:modified>
  <cp:category/>
</cp:coreProperties>
</file>