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hdphoto3.wdp" ContentType="image/vnd.ms-photo"/>
  <Override PartName="/word/media/image3.png" ContentType="image/png"/>
  <Override PartName="/word/media/hdphoto2.wdp" ContentType="image/vnd.ms-photo"/>
  <Override PartName="/word/media/image1.png" ContentType="image/png"/>
  <Override PartName="/word/media/image2.png" ContentType="image/png"/>
  <Override PartName="/word/media/hdphoto1.wdp" ContentType="image/vnd.ms-photo"/>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cs="Times New Roman"/>
          <w:b/>
          <w:b/>
          <w:sz w:val="24"/>
        </w:rPr>
      </w:pPr>
      <w:r>
        <w:rPr>
          <w:rFonts w:cs="Times New Roman" w:ascii="Times New Roman" w:hAnsi="Times New Roman"/>
          <w:b/>
          <w:sz w:val="24"/>
        </w:rPr>
        <w:t xml:space="preserve">The relationship between body size and metabolic rates in </w:t>
      </w:r>
      <w:r>
        <w:rPr>
          <w:rFonts w:cs="Times New Roman" w:ascii="Times New Roman" w:hAnsi="Times New Roman"/>
          <w:b/>
          <w:i/>
          <w:sz w:val="24"/>
        </w:rPr>
        <w:t>Manduca sexta</w:t>
      </w:r>
      <w:r>
        <w:rPr>
          <w:rFonts w:cs="Times New Roman" w:ascii="Times New Roman" w:hAnsi="Times New Roman"/>
          <w:b/>
          <w:sz w:val="24"/>
        </w:rPr>
        <w:t xml:space="preserve"> caterpillars</w:t>
      </w:r>
    </w:p>
    <w:p>
      <w:pPr>
        <w:pStyle w:val="Normal"/>
        <w:spacing w:lineRule="auto" w:line="480"/>
        <w:rPr>
          <w:rFonts w:ascii="Times New Roman" w:hAnsi="Times New Roman" w:cs="Times New Roman"/>
          <w:sz w:val="24"/>
        </w:rPr>
      </w:pPr>
      <w:r>
        <w:rPr>
          <w:rFonts w:cs="Times New Roman" w:ascii="Times New Roman" w:hAnsi="Times New Roman"/>
          <w:b/>
          <w:sz w:val="24"/>
        </w:rPr>
        <w:t>Introduction</w:t>
      </w:r>
    </w:p>
    <w:p>
      <w:pPr>
        <w:pStyle w:val="Normal"/>
        <w:spacing w:lineRule="auto" w:line="480"/>
        <w:jc w:val="both"/>
        <w:rPr>
          <w:rFonts w:ascii="Times New Roman" w:hAnsi="Times New Roman" w:cs="Times New Roman"/>
          <w:sz w:val="24"/>
        </w:rPr>
      </w:pPr>
      <w:r>
        <w:rPr>
          <w:rFonts w:cs="Times New Roman" w:ascii="Times New Roman" w:hAnsi="Times New Roman"/>
          <w:sz w:val="24"/>
        </w:rPr>
        <w:t xml:space="preserve">All animals consume food to gain energy and materials from the environment. This ﬁnite supply of energy and matter must be allocated to maintenance, growth, reproduction, movement, and their attendant metabolic costs. Both metabolism and material exchange with the environment are complex and intricately related processes that depend heavily on animal size (Sears </w:t>
      </w:r>
      <w:r>
        <w:rPr>
          <w:rFonts w:cs="Times New Roman" w:ascii="Times New Roman" w:hAnsi="Times New Roman"/>
          <w:i/>
          <w:sz w:val="24"/>
        </w:rPr>
        <w:t xml:space="preserve">et al. </w:t>
      </w:r>
      <w:r>
        <w:rPr>
          <w:rFonts w:cs="Times New Roman" w:ascii="Times New Roman" w:hAnsi="Times New Roman"/>
          <w:sz w:val="24"/>
        </w:rPr>
        <w:t>2012).</w:t>
      </w:r>
    </w:p>
    <w:p>
      <w:pPr>
        <w:pStyle w:val="Normal"/>
        <w:spacing w:lineRule="auto" w:line="480"/>
        <w:jc w:val="both"/>
        <w:rPr>
          <w:rFonts w:ascii="Times New Roman" w:hAnsi="Times New Roman" w:cs="Times New Roman"/>
          <w:sz w:val="24"/>
        </w:rPr>
      </w:pPr>
      <w:r>
        <w:rPr>
          <w:rFonts w:cs="Times New Roman" w:ascii="Times New Roman" w:hAnsi="Times New Roman"/>
          <w:i/>
          <w:sz w:val="24"/>
        </w:rPr>
        <w:t>Manduca</w:t>
      </w:r>
      <w:r>
        <w:rPr>
          <w:rFonts w:cs="Times New Roman" w:ascii="Times New Roman" w:hAnsi="Times New Roman"/>
          <w:sz w:val="24"/>
        </w:rPr>
        <w:t xml:space="preserve"> serves as good model organism for investigating scaling relationships because it grows almost 10,000-fold in mass in less than 3 weeks. </w:t>
      </w:r>
      <w:r>
        <w:rPr>
          <w:rFonts w:cs="Times New Roman" w:ascii="Times New Roman" w:hAnsi="Times New Roman"/>
          <w:i/>
          <w:sz w:val="24"/>
        </w:rPr>
        <w:t>Manduca</w:t>
      </w:r>
      <w:r>
        <w:rPr>
          <w:rFonts w:cs="Times New Roman" w:ascii="Times New Roman" w:hAnsi="Times New Roman"/>
          <w:sz w:val="24"/>
        </w:rPr>
        <w:t xml:space="preserve"> larvae have ﬁve discrete developmental stages (instars). Between instars, larvae go through a moult period, during which most of their cell proliferation occurs (Baldwin and Hakim 1991). These discrete developmental stages provide a natural basis for asking whether the parameters of scaling relationships and the efﬁciencies of growth and assimilation change over ontogeny</w:t>
      </w:r>
    </w:p>
    <w:p>
      <w:pPr>
        <w:pStyle w:val="Normal"/>
        <w:spacing w:lineRule="auto" w:line="480"/>
        <w:jc w:val="both"/>
        <w:rPr>
          <w:rFonts w:ascii="Times New Roman" w:hAnsi="Times New Roman" w:cs="Times New Roman"/>
          <w:sz w:val="24"/>
        </w:rPr>
      </w:pPr>
      <w:r>
        <w:rPr>
          <w:rFonts w:cs="Times New Roman" w:ascii="Times New Roman" w:hAnsi="Times New Roman"/>
          <w:sz w:val="24"/>
        </w:rPr>
        <w:t>Larvae undergo substantial physiological and behavioural changes at or near times of moult (Chamberlin et al. 1997) that warrant the restriction of our data set for analysis. For example, larvae decrease their food intake, frass production, and growth rate considerably as they approach times of moult.</w:t>
      </w:r>
    </w:p>
    <w:p>
      <w:pPr>
        <w:pStyle w:val="Normal"/>
        <w:spacing w:lineRule="auto" w:line="480"/>
        <w:jc w:val="both"/>
        <w:rPr/>
      </w:pPr>
      <w:r>
        <w:rPr>
          <w:rFonts w:cs="Times New Roman" w:ascii="Times New Roman" w:hAnsi="Times New Roman"/>
          <w:sz w:val="24"/>
        </w:rPr>
        <w:t xml:space="preserve">In this study, we aimed to determine whether body size and/or instar had an influence on the metabolic rate of </w:t>
      </w:r>
      <w:r>
        <w:rPr>
          <w:rFonts w:cs="Times New Roman" w:ascii="Times New Roman" w:hAnsi="Times New Roman"/>
          <w:i/>
          <w:sz w:val="24"/>
        </w:rPr>
        <w:t xml:space="preserve">Manduca sexta </w:t>
      </w:r>
      <w:r>
        <w:rPr>
          <w:rFonts w:cs="Times New Roman" w:ascii="Times New Roman" w:hAnsi="Times New Roman"/>
          <w:sz w:val="24"/>
        </w:rPr>
        <w:t>caterpillars. It was hypothesized that body size would have a positive correlation with metabolic rate and that instar would have a positive correlation</w:t>
      </w:r>
      <w:r>
        <w:rPr>
          <w:rFonts w:cs="Times New Roman" w:ascii="Times New Roman" w:hAnsi="Times New Roman"/>
          <w:sz w:val="24"/>
        </w:rPr>
        <w:commentReference w:id="0"/>
      </w:r>
      <w:r>
        <w:rPr>
          <w:rFonts w:cs="Times New Roman" w:ascii="Times New Roman" w:hAnsi="Times New Roman"/>
          <w:sz w:val="24"/>
        </w:rPr>
        <w:t xml:space="preserve"> with metabolic rate as well.</w:t>
      </w:r>
      <w:r>
        <w:rPr>
          <w:rFonts w:cs="Times New Roman" w:ascii="Times New Roman" w:hAnsi="Times New Roman"/>
          <w:sz w:val="24"/>
        </w:rPr>
        <w:commentReference w:id="1"/>
      </w:r>
    </w:p>
    <w:p>
      <w:pPr>
        <w:pStyle w:val="Normal"/>
        <w:spacing w:lineRule="auto" w:line="480"/>
        <w:jc w:val="both"/>
        <w:rPr>
          <w:rFonts w:ascii="Times New Roman" w:hAnsi="Times New Roman" w:cs="Times New Roman"/>
          <w:sz w:val="24"/>
        </w:rPr>
      </w:pPr>
      <w:r>
        <w:rPr>
          <w:rFonts w:cs="Times New Roman" w:ascii="Times New Roman" w:hAnsi="Times New Roman"/>
          <w:sz w:val="24"/>
        </w:rPr>
      </w:r>
    </w:p>
    <w:p>
      <w:pPr>
        <w:pStyle w:val="Normal"/>
        <w:spacing w:lineRule="auto" w:line="480"/>
        <w:jc w:val="both"/>
        <w:rPr>
          <w:rFonts w:ascii="Times New Roman" w:hAnsi="Times New Roman" w:cs="Times New Roman"/>
          <w:sz w:val="24"/>
        </w:rPr>
      </w:pPr>
      <w:r>
        <w:rPr>
          <w:rFonts w:cs="Times New Roman" w:ascii="Times New Roman" w:hAnsi="Times New Roman"/>
          <w:sz w:val="24"/>
        </w:rPr>
      </w:r>
    </w:p>
    <w:p>
      <w:pPr>
        <w:pStyle w:val="Normal"/>
        <w:spacing w:lineRule="auto" w:line="480"/>
        <w:jc w:val="both"/>
        <w:rPr>
          <w:rFonts w:ascii="Times New Roman" w:hAnsi="Times New Roman" w:cs="Times New Roman"/>
          <w:b/>
          <w:b/>
          <w:sz w:val="24"/>
        </w:rPr>
      </w:pPr>
      <w:r>
        <w:rPr>
          <w:rFonts w:cs="Times New Roman" w:ascii="Times New Roman" w:hAnsi="Times New Roman"/>
          <w:b/>
          <w:sz w:val="24"/>
        </w:rPr>
        <w:t>Methods</w:t>
      </w:r>
      <w:r>
        <w:rPr>
          <w:rFonts w:cs="Times New Roman" w:ascii="Times New Roman" w:hAnsi="Times New Roman"/>
          <w:sz w:val="24"/>
        </w:rPr>
        <w:t xml:space="preserve">  </w:t>
      </w:r>
    </w:p>
    <w:p>
      <w:pPr>
        <w:pStyle w:val="Normal"/>
        <w:spacing w:lineRule="auto" w:line="480"/>
        <w:jc w:val="both"/>
        <w:rPr>
          <w:rFonts w:ascii="Times New Roman" w:hAnsi="Times New Roman" w:cs="Times New Roman"/>
          <w:b/>
          <w:b/>
          <w:sz w:val="24"/>
        </w:rPr>
      </w:pPr>
      <w:r>
        <w:rPr>
          <w:rFonts w:cs="Times New Roman" w:ascii="Times New Roman" w:hAnsi="Times New Roman"/>
          <w:sz w:val="24"/>
          <w:u w:val="single"/>
        </w:rPr>
        <w:t>Animal Rearing</w:t>
      </w:r>
    </w:p>
    <w:p>
      <w:pPr>
        <w:pStyle w:val="Normal"/>
        <w:spacing w:lineRule="auto" w:line="480"/>
        <w:jc w:val="both"/>
        <w:rPr>
          <w:rFonts w:ascii="Times New Roman" w:hAnsi="Times New Roman" w:cs="Times New Roman"/>
          <w:sz w:val="24"/>
        </w:rPr>
      </w:pPr>
      <w:r>
        <w:rPr>
          <w:rFonts w:cs="Times New Roman" w:ascii="Times New Roman" w:hAnsi="Times New Roman"/>
          <w:sz w:val="24"/>
        </w:rPr>
        <w:t xml:space="preserve">In the summer of 2009, two cohorts of </w:t>
      </w:r>
      <w:r>
        <w:rPr>
          <w:rFonts w:cs="Times New Roman" w:ascii="Times New Roman" w:hAnsi="Times New Roman"/>
          <w:i/>
          <w:sz w:val="24"/>
        </w:rPr>
        <w:t>Manduca sexta</w:t>
      </w:r>
      <w:r>
        <w:rPr>
          <w:rFonts w:cs="Times New Roman" w:ascii="Times New Roman" w:hAnsi="Times New Roman"/>
          <w:sz w:val="24"/>
        </w:rPr>
        <w:t xml:space="preserve"> larvae from eggs to adults, were reared, at a constant temperature of 27</w:t>
      </w:r>
      <w:r>
        <w:rPr>
          <w:rFonts w:cs="Times New Roman" w:ascii="Times New Roman" w:hAnsi="Times New Roman"/>
          <w:sz w:val="24"/>
          <w:vertAlign w:val="superscript"/>
        </w:rPr>
        <w:t>o</w:t>
      </w:r>
      <w:r>
        <w:rPr>
          <w:rFonts w:cs="Times New Roman" w:ascii="Times New Roman" w:hAnsi="Times New Roman"/>
          <w:sz w:val="24"/>
        </w:rPr>
        <w:t>C and long-day photoperiod (16 hours light and 8 hours dark). The initial eggs were obtained from the Carolina Biological Supply. Upon hatching, individuals were placed in sperate containers. All larvae were fed a wheat germ–based laboratory diet (tobacco hornworm medium bulk diet) but in controlled amounts to facilitate accurate measures of metabolic rates. To facilitate the collection of frass, caterpillars and food were elevated above the ﬂoor of the containers on a small wire mesh frame constructed of hardware cloth. Data were analysed only for larvae that successfully entered pupation.</w:t>
      </w:r>
    </w:p>
    <w:p>
      <w:pPr>
        <w:pStyle w:val="Normal"/>
        <w:spacing w:lineRule="auto" w:line="480"/>
        <w:jc w:val="both"/>
        <w:rPr>
          <w:rFonts w:ascii="Times New Roman" w:hAnsi="Times New Roman" w:cs="Times New Roman"/>
          <w:sz w:val="24"/>
          <w:u w:val="single"/>
        </w:rPr>
      </w:pPr>
      <w:r>
        <w:rPr>
          <w:rFonts w:cs="Times New Roman" w:ascii="Times New Roman" w:hAnsi="Times New Roman"/>
          <w:sz w:val="24"/>
          <w:u w:val="single"/>
        </w:rPr>
        <w:t>Growth and Metabolism Measurements</w:t>
      </w:r>
    </w:p>
    <w:p>
      <w:pPr>
        <w:pStyle w:val="Normal"/>
        <w:spacing w:lineRule="auto" w:line="480"/>
        <w:jc w:val="both"/>
        <w:rPr>
          <w:rFonts w:ascii="Times New Roman" w:hAnsi="Times New Roman" w:cs="Times New Roman"/>
          <w:sz w:val="24"/>
        </w:rPr>
      </w:pPr>
      <w:r>
        <w:rPr>
          <w:rFonts w:cs="Times New Roman" w:ascii="Times New Roman" w:hAnsi="Times New Roman"/>
          <w:sz w:val="24"/>
        </w:rPr>
        <w:t>Animal mass, instar, and day of instar were recorded for each larva at approximately the same time each day. Early-instar animals (&lt;10 mg) were weighed on a digital microbalance while larger animals were weighed on a Mettler-Toledo XS-204. Values of animal mass were converted to dry mass based on a preliminary study that measured the water content of Manduca larvae. The wet and dry masses of three larvae were measured at each day of each instar, providing a wide range of animal sizes and accounting for all stages of the larval cycle.</w:t>
      </w:r>
    </w:p>
    <w:p>
      <w:pPr>
        <w:pStyle w:val="Normal"/>
        <w:spacing w:lineRule="auto" w:line="480"/>
        <w:jc w:val="both"/>
        <w:rPr>
          <w:rFonts w:ascii="Times New Roman" w:hAnsi="Times New Roman" w:cs="Times New Roman"/>
          <w:sz w:val="24"/>
        </w:rPr>
      </w:pPr>
      <w:r>
        <w:rPr>
          <w:rFonts w:cs="Times New Roman" w:ascii="Times New Roman" w:hAnsi="Times New Roman"/>
          <w:sz w:val="24"/>
        </w:rPr>
        <w:t>The metabolic rate of each larva was also measured at approximately the same time every day using a four-channel respirometry system and G283 channel switcher run into a model S151 infrared gas analyser) in a 27 C temperature-controlled chamber. The respirometry system was calibrated (both zero and span) each morning and recalibrated between each set of measurements using standardized reference gases. After acclimation to the chamber for 25 min, CO2 exchange was measured for each animal over three 5-min intervals, and these three measurements were averaged to obtain average values of metabolic rate (uL CO</w:t>
      </w:r>
      <w:r>
        <w:rPr>
          <w:rFonts w:cs="Times New Roman" w:ascii="Times New Roman" w:hAnsi="Times New Roman"/>
          <w:sz w:val="24"/>
          <w:vertAlign w:val="subscript"/>
        </w:rPr>
        <w:t>2</w:t>
      </w:r>
      <w:r>
        <w:rPr>
          <w:rFonts w:cs="Times New Roman" w:ascii="Times New Roman" w:hAnsi="Times New Roman"/>
          <w:sz w:val="24"/>
        </w:rPr>
        <w:t xml:space="preserve"> h</w:t>
      </w:r>
      <w:r>
        <w:rPr>
          <w:rFonts w:cs="Times New Roman" w:ascii="Times New Roman" w:hAnsi="Times New Roman"/>
          <w:sz w:val="24"/>
          <w:vertAlign w:val="superscript"/>
        </w:rPr>
        <w:t>-1</w:t>
      </w:r>
      <w:r>
        <w:rPr>
          <w:rFonts w:cs="Times New Roman" w:ascii="Times New Roman" w:hAnsi="Times New Roman"/>
          <w:sz w:val="24"/>
        </w:rPr>
        <w:t>).</w:t>
      </w:r>
    </w:p>
    <w:p>
      <w:pPr>
        <w:pStyle w:val="Normal"/>
        <w:spacing w:lineRule="auto" w:line="480"/>
        <w:jc w:val="both"/>
        <w:rPr>
          <w:rFonts w:ascii="Times New Roman" w:hAnsi="Times New Roman" w:cs="Times New Roman"/>
          <w:sz w:val="24"/>
          <w:u w:val="single"/>
        </w:rPr>
      </w:pPr>
      <w:r>
        <w:rPr>
          <w:rFonts w:cs="Times New Roman" w:ascii="Times New Roman" w:hAnsi="Times New Roman"/>
          <w:sz w:val="24"/>
          <w:u w:val="single"/>
        </w:rPr>
        <w:t>Data Analysis</w:t>
      </w:r>
    </w:p>
    <w:p>
      <w:pPr>
        <w:pStyle w:val="Normal"/>
        <w:spacing w:lineRule="auto" w:line="480"/>
        <w:jc w:val="both"/>
        <w:rPr>
          <w:rFonts w:ascii="Times New Roman" w:hAnsi="Times New Roman" w:cs="Times New Roman"/>
          <w:sz w:val="24"/>
        </w:rPr>
      </w:pPr>
      <w:r>
        <w:rPr>
          <w:rFonts w:cs="Times New Roman" w:ascii="Times New Roman" w:hAnsi="Times New Roman"/>
          <w:sz w:val="24"/>
        </w:rPr>
        <w:t>It was assumed that the rates of metabolism and growth all scale as allometric power laws of the form: R = cM</w:t>
      </w:r>
      <w:r>
        <w:rPr>
          <w:rFonts w:cs="Times New Roman" w:ascii="Times New Roman" w:hAnsi="Times New Roman"/>
          <w:sz w:val="24"/>
          <w:vertAlign w:val="superscript"/>
        </w:rPr>
        <w:t>d</w:t>
      </w:r>
      <w:r>
        <w:rPr>
          <w:rFonts w:cs="Times New Roman" w:ascii="Times New Roman" w:hAnsi="Times New Roman"/>
          <w:sz w:val="24"/>
        </w:rPr>
        <w:t>, where R is the measured rates of interest, M is measured animal body weight (g, dry mass), and c and d are ﬁtted parameters. For analysis, we linearize the relationship by log transformation and assume that errors are lognormally distributed. Log transformation was used not only to normalize residual variation but also because ontogenetic growth is a multiplicative process and spans several orders of magnitude.</w:t>
      </w:r>
    </w:p>
    <w:p>
      <w:pPr>
        <w:pStyle w:val="Normal"/>
        <w:spacing w:lineRule="auto" w:line="480"/>
        <w:jc w:val="both"/>
        <w:rPr>
          <w:rFonts w:ascii="Times New Roman" w:hAnsi="Times New Roman" w:cs="Times New Roman"/>
          <w:sz w:val="24"/>
        </w:rPr>
      </w:pPr>
      <w:r>
        <w:rPr>
          <w:rFonts w:cs="Times New Roman" w:ascii="Times New Roman" w:hAnsi="Times New Roman"/>
          <w:sz w:val="24"/>
        </w:rPr>
        <w:t>A one-way Analysis of Variance (ANOVA) on the instar and metabolic rate was conducted in the “tidyverse” package in R version 3.5.2 (R Development Core Team 2011).  This was performed to determine whether variance among the selected variables existed. A Tukey HSD test was performed on the ANOVA results dataset in order to make pairwise comparisons of all of the groups being compared. The HSD test results were visualized as a boxplot using the library “ggpubr”.</w:t>
      </w:r>
    </w:p>
    <w:p>
      <w:pPr>
        <w:pStyle w:val="Normal"/>
        <w:spacing w:lineRule="auto" w:line="480"/>
        <w:jc w:val="both"/>
        <w:rPr>
          <w:rFonts w:ascii="Times New Roman" w:hAnsi="Times New Roman" w:cs="Times New Roman"/>
          <w:sz w:val="24"/>
        </w:rPr>
      </w:pPr>
      <w:r>
        <w:rPr>
          <w:rFonts w:cs="Times New Roman" w:ascii="Times New Roman" w:hAnsi="Times New Roman"/>
          <w:sz w:val="24"/>
        </w:rPr>
        <w:t>A Kendall correlation test was performed on the non-normally distributed data log body size and log metabolic rate to find a correlation. These results were visualised with an overlay of the heatmap and the correlation coefficients, on each panel for each variable. A linear regression was performed to determine if body size influenced metabolic rate. This was done using a linear model and visualised using the ggplot function in the library “ggpubr”.</w:t>
      </w:r>
    </w:p>
    <w:p>
      <w:pPr>
        <w:pStyle w:val="Normal"/>
        <w:spacing w:lineRule="auto" w:line="480"/>
        <w:jc w:val="both"/>
        <w:rPr/>
      </w:pPr>
      <w:r>
        <w:rPr>
          <w:rFonts w:cs="Times New Roman" w:ascii="Times New Roman" w:hAnsi="Times New Roman"/>
          <w:sz w:val="24"/>
        </w:rPr>
        <w:t>Note that since the linear model provides the best unbiased parameter estimate for the log-transformed data, this back-transformation process yields asymmetrical conﬁdence intervals for the intercept terms.</w:t>
      </w:r>
      <w:r>
        <w:rPr>
          <w:rFonts w:cs="Times New Roman" w:ascii="Times New Roman" w:hAnsi="Times New Roman"/>
          <w:sz w:val="24"/>
        </w:rPr>
        <w:commentReference w:id="2"/>
      </w:r>
    </w:p>
    <w:p>
      <w:pPr>
        <w:pStyle w:val="Normal"/>
        <w:spacing w:lineRule="auto" w:line="480"/>
        <w:jc w:val="both"/>
        <w:rPr>
          <w:rFonts w:ascii="Times New Roman" w:hAnsi="Times New Roman" w:cs="Times New Roman"/>
          <w:sz w:val="24"/>
        </w:rPr>
      </w:pPr>
      <w:r>
        <w:rPr>
          <w:rFonts w:cs="Times New Roman" w:ascii="Times New Roman" w:hAnsi="Times New Roman"/>
          <w:sz w:val="24"/>
        </w:rPr>
      </w:r>
    </w:p>
    <w:p>
      <w:pPr>
        <w:pStyle w:val="Normal"/>
        <w:spacing w:lineRule="auto" w:line="480"/>
        <w:jc w:val="both"/>
        <w:rPr>
          <w:rFonts w:ascii="Times New Roman" w:hAnsi="Times New Roman" w:cs="Times New Roman"/>
          <w:sz w:val="24"/>
        </w:rPr>
      </w:pPr>
      <w:r>
        <w:rPr>
          <w:rFonts w:cs="Times New Roman" w:ascii="Times New Roman" w:hAnsi="Times New Roman"/>
          <w:sz w:val="24"/>
        </w:rPr>
        <w:commentReference w:id="3"/>
      </w:r>
    </w:p>
    <w:p>
      <w:pPr>
        <w:pStyle w:val="Normal"/>
        <w:spacing w:lineRule="auto" w:line="480"/>
        <w:jc w:val="both"/>
        <w:rPr>
          <w:rFonts w:ascii="Times New Roman" w:hAnsi="Times New Roman" w:cs="Times New Roman"/>
          <w:b/>
          <w:b/>
          <w:sz w:val="24"/>
        </w:rPr>
      </w:pPr>
      <w:r>
        <w:rPr>
          <w:rFonts w:cs="Times New Roman" w:ascii="Times New Roman" w:hAnsi="Times New Roman"/>
          <w:b/>
          <w:sz w:val="24"/>
        </w:rPr>
        <w:t>Results</w:t>
      </w:r>
      <w:r>
        <w:rPr/>
        <mc:AlternateContent>
          <mc:Choice Requires="wps">
            <w:drawing>
              <wp:inline distT="0" distB="0" distL="0" distR="0" wp14:anchorId="2025EA38">
                <wp:extent cx="5820410" cy="448183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extLst>
                            <a:ext uri="{BEBA8EAE-BF5A-486C-A8C5-ECC9F3942E4B}">
                              <a14:imgProps xmlns:a14="http://schemas.microsoft.com/office/drawing/2010/main">
                                <a14:imgLayer r:embed="rId3">
                                  <a14:imgEffect>
                                    <a14:saturation amount="25000" sat="400000"/>
                                  </a14:imgEffect>
                                </a14:imgLayer>
                              </a14:imgProps>
                            </a:ext>
                          </a:extLst>
                        </a:blip>
                        <a:srcRect l="830" t="4138" r="32694" b="4827"/>
                        <a:stretch/>
                      </pic:blipFill>
                      <pic:spPr>
                        <a:xfrm>
                          <a:off x="0" y="0"/>
                          <a:ext cx="5819760" cy="448128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352.9pt;width:458.2pt;height:352.8pt;mso-position-vertical:top" wp14:anchorId="2025EA38" type="shapetype_75">
                <v:imagedata r:id="rId2" o:detectmouseclick="t"/>
                <w10:wrap type="none"/>
                <v:stroke color="#3465a4" joinstyle="round" endcap="flat"/>
              </v:shape>
            </w:pict>
          </mc:Fallback>
        </mc:AlternateContent>
      </w:r>
    </w:p>
    <w:p>
      <w:pPr>
        <w:pStyle w:val="Normal"/>
        <w:spacing w:lineRule="auto" w:line="480"/>
        <w:jc w:val="both"/>
        <w:rPr>
          <w:rFonts w:ascii="Times New Roman" w:hAnsi="Times New Roman" w:cs="Times New Roman"/>
          <w:sz w:val="24"/>
        </w:rPr>
      </w:pPr>
      <w:r>
        <w:rPr>
          <w:rFonts w:cs="Times New Roman" w:ascii="Times New Roman" w:hAnsi="Times New Roman"/>
          <w:b/>
          <w:sz w:val="24"/>
        </w:rPr>
        <w:t xml:space="preserve">Figure 1. </w:t>
      </w:r>
      <w:r>
        <w:rPr>
          <w:rFonts w:cs="Times New Roman" w:ascii="Times New Roman" w:hAnsi="Times New Roman"/>
          <w:sz w:val="24"/>
        </w:rPr>
        <w:t>Boxplots of the variance in metabolic rate (uL CO</w:t>
      </w:r>
      <w:r>
        <w:rPr>
          <w:rFonts w:cs="Times New Roman" w:ascii="Times New Roman" w:hAnsi="Times New Roman"/>
          <w:sz w:val="24"/>
          <w:vertAlign w:val="superscript"/>
        </w:rPr>
        <w:t xml:space="preserve">2  </w:t>
      </w:r>
      <w:r>
        <w:rPr>
          <w:rFonts w:cs="Times New Roman" w:ascii="Times New Roman" w:hAnsi="Times New Roman"/>
          <w:sz w:val="24"/>
        </w:rPr>
        <w:t>h</w:t>
      </w:r>
      <w:r>
        <w:rPr>
          <w:rFonts w:cs="Times New Roman" w:ascii="Times New Roman" w:hAnsi="Times New Roman"/>
          <w:sz w:val="24"/>
          <w:vertAlign w:val="superscript"/>
        </w:rPr>
        <w:t>-1</w:t>
      </w:r>
      <w:r>
        <w:rPr>
          <w:rFonts w:cs="Times New Roman" w:ascii="Times New Roman" w:hAnsi="Times New Roman"/>
          <w:sz w:val="24"/>
        </w:rPr>
        <w:t>) between the 4 instar phases.</w:t>
      </w:r>
    </w:p>
    <w:p>
      <w:pPr>
        <w:pStyle w:val="Normal"/>
        <w:spacing w:lineRule="auto" w:line="480"/>
        <w:jc w:val="both"/>
        <w:rPr/>
      </w:pPr>
      <w:commentRangeStart w:id="4"/>
      <w:r>
        <w:rPr>
          <w:rFonts w:cs="Times New Roman" w:ascii="Times New Roman" w:hAnsi="Times New Roman"/>
          <w:sz w:val="24"/>
        </w:rPr>
        <w:t>The null hypothesis was that the instar groups did not differ from one another, whereas, the alternate hypothesis was that at least one of these groups differed</w:t>
      </w:r>
      <w:r>
        <w:rPr>
          <w:rFonts w:cs="Times New Roman" w:ascii="Times New Roman" w:hAnsi="Times New Roman"/>
          <w:sz w:val="24"/>
        </w:rPr>
      </w:r>
      <w:commentRangeEnd w:id="4"/>
      <w:r>
        <w:commentReference w:id="4"/>
      </w:r>
      <w:r>
        <w:rPr>
          <w:rFonts w:cs="Times New Roman" w:ascii="Times New Roman" w:hAnsi="Times New Roman"/>
          <w:sz w:val="24"/>
        </w:rPr>
        <w:t>. Due to the overlay in the boxplots a &amp; b, a, b &amp; c, and b, c &amp; d (in Figure 1.) there were differences in variation between these instars and metabolic rate (F = 177.5, df = 3, P = &lt;2e-16).</w:t>
      </w:r>
      <w:r>
        <w:rPr>
          <w:rFonts w:cs="Times New Roman" w:ascii="Times New Roman" w:hAnsi="Times New Roman"/>
          <w:sz w:val="24"/>
        </w:rPr>
        <w:commentReference w:id="5"/>
      </w:r>
      <w:r>
        <w:rPr>
          <w:rFonts w:cs="Times New Roman" w:ascii="Times New Roman" w:hAnsi="Times New Roman"/>
          <w:sz w:val="24"/>
        </w:rPr>
        <w:t xml:space="preserve"> Thus the null hypothesis was rejected and the alternate hypothesis accepted.</w:t>
      </w:r>
      <w:r>
        <w:rPr>
          <w:rFonts w:cs="Times New Roman" w:ascii="Times New Roman" w:hAnsi="Times New Roman"/>
          <w:sz w:val="24"/>
        </w:rPr>
        <w:commentReference w:id="6"/>
      </w:r>
    </w:p>
    <w:p>
      <w:pPr>
        <w:pStyle w:val="Normal"/>
        <w:spacing w:lineRule="auto" w:line="480"/>
        <w:jc w:val="both"/>
        <w:rPr>
          <w:rFonts w:ascii="Times New Roman" w:hAnsi="Times New Roman" w:cs="Times New Roman"/>
          <w:sz w:val="24"/>
        </w:rPr>
      </w:pPr>
      <w:r>
        <w:rPr/>
        <mc:AlternateContent>
          <mc:Choice Requires="wps">
            <w:drawing>
              <wp:inline distT="0" distB="0" distL="0" distR="0" wp14:anchorId="13387063">
                <wp:extent cx="5172710" cy="4003040"/>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4">
                          <a:extLst>
                            <a:ext uri="{BEBA8EAE-BF5A-486C-A8C5-ECC9F3942E4B}">
                              <a14:imgProps xmlns:a14="http://schemas.microsoft.com/office/drawing/2010/main">
                                <a14:imgLayer r:embed="rId5">
                                  <a14:imgEffect>
                                    <a14:saturation amount="25000" sat="400000"/>
                                  </a14:imgEffect>
                                </a14:imgLayer>
                              </a14:imgProps>
                            </a:ext>
                          </a:extLst>
                        </a:blip>
                        <a:srcRect l="664" t="4138" r="33192" b="4827"/>
                        <a:stretch/>
                      </pic:blipFill>
                      <pic:spPr>
                        <a:xfrm>
                          <a:off x="0" y="0"/>
                          <a:ext cx="5172120" cy="4002480"/>
                        </a:xfrm>
                        <a:prstGeom prst="rect">
                          <a:avLst/>
                        </a:prstGeom>
                        <a:ln>
                          <a:noFill/>
                        </a:ln>
                      </pic:spPr>
                    </pic:pic>
                  </a:graphicData>
                </a:graphic>
              </wp:inline>
            </w:drawing>
          </mc:Choice>
          <mc:Fallback>
            <w:pict>
              <v:shape id="shape_0" stroked="f" style="position:absolute;margin-left:0pt;margin-top:-315.2pt;width:407.2pt;height:315.1pt;mso-position-vertical:top" wp14:anchorId="13387063" type="shapetype_75">
                <v:imagedata r:id="rId4" o:detectmouseclick="t"/>
                <w10:wrap type="none"/>
                <v:stroke color="#3465a4" joinstyle="round" endcap="flat"/>
              </v:shape>
            </w:pict>
          </mc:Fallback>
        </mc:AlternateContent>
      </w:r>
    </w:p>
    <w:p>
      <w:pPr>
        <w:pStyle w:val="Normal"/>
        <w:spacing w:lineRule="auto" w:line="480"/>
        <w:jc w:val="both"/>
        <w:rPr>
          <w:rFonts w:ascii="Times New Roman" w:hAnsi="Times New Roman" w:cs="Times New Roman"/>
          <w:i/>
          <w:i/>
          <w:sz w:val="24"/>
        </w:rPr>
      </w:pPr>
      <w:r>
        <w:rPr>
          <w:rFonts w:cs="Times New Roman" w:ascii="Times New Roman" w:hAnsi="Times New Roman"/>
          <w:b/>
          <w:sz w:val="24"/>
        </w:rPr>
        <w:t xml:space="preserve">Figure 2. </w:t>
      </w:r>
      <w:r>
        <w:rPr>
          <w:rFonts w:cs="Times New Roman" w:ascii="Times New Roman" w:hAnsi="Times New Roman"/>
          <w:sz w:val="24"/>
        </w:rPr>
        <w:t>The correlation between metabolic rate (uL CO</w:t>
      </w:r>
      <w:r>
        <w:rPr>
          <w:rFonts w:cs="Times New Roman" w:ascii="Times New Roman" w:hAnsi="Times New Roman"/>
          <w:sz w:val="24"/>
          <w:vertAlign w:val="subscript"/>
        </w:rPr>
        <w:t xml:space="preserve">2 </w:t>
      </w:r>
      <w:r>
        <w:rPr>
          <w:rFonts w:cs="Times New Roman" w:ascii="Times New Roman" w:hAnsi="Times New Roman"/>
          <w:sz w:val="24"/>
          <w:vertAlign w:val="superscript"/>
        </w:rPr>
        <w:t xml:space="preserve"> </w:t>
      </w:r>
      <w:r>
        <w:rPr>
          <w:rFonts w:cs="Times New Roman" w:ascii="Times New Roman" w:hAnsi="Times New Roman"/>
          <w:sz w:val="24"/>
        </w:rPr>
        <w:t>h</w:t>
      </w:r>
      <w:r>
        <w:rPr>
          <w:rFonts w:cs="Times New Roman" w:ascii="Times New Roman" w:hAnsi="Times New Roman"/>
          <w:sz w:val="24"/>
          <w:vertAlign w:val="superscript"/>
        </w:rPr>
        <w:t>-1</w:t>
      </w:r>
      <w:r>
        <w:rPr>
          <w:rFonts w:cs="Times New Roman" w:ascii="Times New Roman" w:hAnsi="Times New Roman"/>
          <w:sz w:val="24"/>
        </w:rPr>
        <w:t xml:space="preserve">) and body mass (g) in </w:t>
      </w:r>
      <w:r>
        <w:rPr>
          <w:rFonts w:cs="Times New Roman" w:ascii="Times New Roman" w:hAnsi="Times New Roman"/>
          <w:i/>
          <w:sz w:val="24"/>
        </w:rPr>
        <w:t>Manduca sexta</w:t>
      </w:r>
    </w:p>
    <w:p>
      <w:pPr>
        <w:pStyle w:val="Normal"/>
        <w:spacing w:lineRule="auto" w:line="480"/>
        <w:jc w:val="both"/>
        <w:rPr>
          <w:rFonts w:ascii="Times New Roman" w:hAnsi="Times New Roman" w:cs="Times New Roman"/>
          <w:sz w:val="24"/>
        </w:rPr>
      </w:pPr>
      <w:r>
        <w:rPr>
          <w:rFonts w:cs="Times New Roman" w:ascii="Times New Roman" w:hAnsi="Times New Roman"/>
          <w:sz w:val="24"/>
        </w:rPr>
        <w:t>A Kendall rank correlation test (tau = 0.82) and its supporting plot (Figure 2) determined a relationship between body size and metabolic rate. This was a positive relationship, as metabolic rate increases, so does body mass increase.</w:t>
      </w:r>
    </w:p>
    <w:p>
      <w:pPr>
        <w:pStyle w:val="Normal"/>
        <w:spacing w:lineRule="auto" w:line="480"/>
        <w:jc w:val="both"/>
        <w:rPr>
          <w:rFonts w:ascii="Times New Roman" w:hAnsi="Times New Roman" w:cs="Times New Roman"/>
          <w:sz w:val="24"/>
        </w:rPr>
      </w:pPr>
      <w:r>
        <w:rPr/>
        <mc:AlternateContent>
          <mc:Choice Requires="wps">
            <w:drawing>
              <wp:inline distT="0" distB="0" distL="0" distR="0" wp14:anchorId="48FDCABA">
                <wp:extent cx="5353685" cy="3926205"/>
                <wp:effectExtent l="0" t="0" r="0" b="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6">
                          <a:extLst>
                            <a:ext uri="{BEBA8EAE-BF5A-486C-A8C5-ECC9F3942E4B}">
                              <a14:imgProps xmlns:a14="http://schemas.microsoft.com/office/drawing/2010/main">
                                <a14:imgLayer r:embed="rId7">
                                  <a14:imgEffect>
                                    <a14:saturation amount="25000" sat="300000"/>
                                  </a14:imgEffect>
                                </a14:imgLayer>
                              </a14:imgProps>
                            </a:ext>
                          </a:extLst>
                        </a:blip>
                        <a:srcRect l="830" t="4729" r="26876" b="984"/>
                        <a:stretch/>
                      </pic:blipFill>
                      <pic:spPr>
                        <a:xfrm>
                          <a:off x="0" y="0"/>
                          <a:ext cx="5353200" cy="3925440"/>
                        </a:xfrm>
                        <a:prstGeom prst="rect">
                          <a:avLst/>
                        </a:prstGeom>
                        <a:ln>
                          <a:noFill/>
                        </a:ln>
                      </pic:spPr>
                    </pic:pic>
                  </a:graphicData>
                </a:graphic>
              </wp:inline>
            </w:drawing>
          </mc:Choice>
          <mc:Fallback>
            <w:pict>
              <v:shape id="shape_0" stroked="f" style="position:absolute;margin-left:0pt;margin-top:-309.15pt;width:421.45pt;height:309.05pt;mso-position-vertical:top" wp14:anchorId="48FDCABA" type="shapetype_75">
                <v:imagedata r:id="rId6" o:detectmouseclick="t"/>
                <w10:wrap type="none"/>
                <v:stroke color="#3465a4" joinstyle="round" endcap="flat"/>
              </v:shape>
            </w:pict>
          </mc:Fallback>
        </mc:AlternateContent>
      </w:r>
    </w:p>
    <w:p>
      <w:pPr>
        <w:pStyle w:val="Normal"/>
        <w:spacing w:lineRule="auto" w:line="480"/>
        <w:jc w:val="both"/>
        <w:rPr>
          <w:rFonts w:ascii="Times New Roman" w:hAnsi="Times New Roman" w:cs="Times New Roman"/>
          <w:sz w:val="24"/>
        </w:rPr>
      </w:pPr>
      <w:r>
        <w:rPr>
          <w:rFonts w:cs="Times New Roman" w:ascii="Times New Roman" w:hAnsi="Times New Roman"/>
          <w:b/>
          <w:sz w:val="24"/>
        </w:rPr>
        <w:t xml:space="preserve">Figure 3. </w:t>
      </w:r>
      <w:r>
        <w:rPr>
          <w:rFonts w:cs="Times New Roman" w:ascii="Times New Roman" w:hAnsi="Times New Roman"/>
          <w:sz w:val="24"/>
        </w:rPr>
        <w:t xml:space="preserve">The influence of body mass (g) on metabolic rate </w:t>
      </w:r>
      <w:bookmarkStart w:id="0" w:name="_Hlk8682694"/>
      <w:r>
        <w:rPr>
          <w:rFonts w:cs="Times New Roman" w:ascii="Times New Roman" w:hAnsi="Times New Roman"/>
          <w:sz w:val="24"/>
        </w:rPr>
        <w:t>(uL CO</w:t>
      </w:r>
      <w:r>
        <w:rPr>
          <w:rFonts w:cs="Times New Roman" w:ascii="Times New Roman" w:hAnsi="Times New Roman"/>
          <w:sz w:val="24"/>
          <w:vertAlign w:val="subscript"/>
        </w:rPr>
        <w:t>2</w:t>
      </w:r>
      <w:r>
        <w:rPr>
          <w:rFonts w:cs="Times New Roman" w:ascii="Times New Roman" w:hAnsi="Times New Roman"/>
          <w:sz w:val="24"/>
          <w:vertAlign w:val="superscript"/>
        </w:rPr>
        <w:t xml:space="preserve">  </w:t>
      </w:r>
      <w:r>
        <w:rPr>
          <w:rFonts w:cs="Times New Roman" w:ascii="Times New Roman" w:hAnsi="Times New Roman"/>
          <w:sz w:val="24"/>
        </w:rPr>
        <w:t>h</w:t>
      </w:r>
      <w:r>
        <w:rPr>
          <w:rFonts w:cs="Times New Roman" w:ascii="Times New Roman" w:hAnsi="Times New Roman"/>
          <w:sz w:val="24"/>
          <w:vertAlign w:val="superscript"/>
        </w:rPr>
        <w:t>-1</w:t>
      </w:r>
      <w:r>
        <w:rPr>
          <w:rFonts w:cs="Times New Roman" w:ascii="Times New Roman" w:hAnsi="Times New Roman"/>
          <w:sz w:val="24"/>
        </w:rPr>
        <w:t xml:space="preserve">) </w:t>
      </w:r>
      <w:bookmarkEnd w:id="0"/>
      <w:r>
        <w:rPr>
          <w:rFonts w:cs="Times New Roman" w:ascii="Times New Roman" w:hAnsi="Times New Roman"/>
          <w:sz w:val="24"/>
        </w:rPr>
        <w:t>using a linear model.</w:t>
      </w:r>
    </w:p>
    <w:p>
      <w:pPr>
        <w:pStyle w:val="Normal"/>
        <w:spacing w:lineRule="auto" w:line="480"/>
        <w:jc w:val="both"/>
        <w:rPr>
          <w:rFonts w:ascii="Times New Roman" w:hAnsi="Times New Roman" w:cs="Times New Roman"/>
          <w:sz w:val="24"/>
        </w:rPr>
      </w:pPr>
      <w:r>
        <w:rPr>
          <w:rFonts w:cs="Times New Roman" w:ascii="Times New Roman" w:hAnsi="Times New Roman"/>
          <w:sz w:val="24"/>
        </w:rPr>
        <w:t>A linear regression determined that body size influences metabolic rate (p &lt; 0.001, r = 0.9224).</w:t>
      </w:r>
    </w:p>
    <w:p>
      <w:pPr>
        <w:pStyle w:val="Normal"/>
        <w:spacing w:lineRule="auto" w:line="480"/>
        <w:jc w:val="both"/>
        <w:rPr>
          <w:rFonts w:ascii="Times New Roman" w:hAnsi="Times New Roman" w:cs="Times New Roman"/>
          <w:sz w:val="24"/>
        </w:rPr>
      </w:pPr>
      <w:r>
        <w:rPr>
          <w:rFonts w:cs="Times New Roman" w:ascii="Times New Roman" w:hAnsi="Times New Roman"/>
          <w:sz w:val="24"/>
        </w:rPr>
        <w:commentReference w:id="7"/>
      </w:r>
    </w:p>
    <w:p>
      <w:pPr>
        <w:pStyle w:val="Normal"/>
        <w:spacing w:lineRule="auto" w:line="480"/>
        <w:jc w:val="both"/>
        <w:rPr>
          <w:rFonts w:ascii="Times New Roman" w:hAnsi="Times New Roman" w:cs="Times New Roman"/>
          <w:sz w:val="24"/>
        </w:rPr>
      </w:pPr>
      <w:r>
        <w:rPr>
          <w:rFonts w:cs="Times New Roman" w:ascii="Times New Roman" w:hAnsi="Times New Roman"/>
          <w:sz w:val="24"/>
        </w:rPr>
      </w:r>
    </w:p>
    <w:p>
      <w:pPr>
        <w:pStyle w:val="Normal"/>
        <w:spacing w:lineRule="auto" w:line="480"/>
        <w:jc w:val="both"/>
        <w:rPr>
          <w:rFonts w:ascii="Times New Roman" w:hAnsi="Times New Roman" w:cs="Times New Roman"/>
          <w:sz w:val="24"/>
        </w:rPr>
      </w:pPr>
      <w:r>
        <w:rPr>
          <w:rFonts w:cs="Times New Roman" w:ascii="Times New Roman" w:hAnsi="Times New Roman"/>
          <w:sz w:val="24"/>
        </w:rPr>
      </w:r>
    </w:p>
    <w:p>
      <w:pPr>
        <w:pStyle w:val="Normal"/>
        <w:spacing w:lineRule="auto" w:line="480"/>
        <w:jc w:val="both"/>
        <w:rPr>
          <w:rFonts w:ascii="Times New Roman" w:hAnsi="Times New Roman" w:cs="Times New Roman"/>
          <w:sz w:val="24"/>
        </w:rPr>
      </w:pPr>
      <w:r>
        <w:rPr>
          <w:rFonts w:cs="Times New Roman" w:ascii="Times New Roman" w:hAnsi="Times New Roman"/>
          <w:sz w:val="24"/>
        </w:rPr>
      </w:r>
    </w:p>
    <w:p>
      <w:pPr>
        <w:pStyle w:val="Normal"/>
        <w:spacing w:lineRule="auto" w:line="480"/>
        <w:jc w:val="both"/>
        <w:rPr>
          <w:rFonts w:ascii="Times New Roman" w:hAnsi="Times New Roman" w:cs="Times New Roman"/>
          <w:sz w:val="24"/>
        </w:rPr>
      </w:pPr>
      <w:r>
        <w:rPr>
          <w:rFonts w:cs="Times New Roman" w:ascii="Times New Roman" w:hAnsi="Times New Roman"/>
          <w:sz w:val="24"/>
        </w:rPr>
      </w:r>
    </w:p>
    <w:p>
      <w:pPr>
        <w:pStyle w:val="Normal"/>
        <w:spacing w:lineRule="auto" w:line="480"/>
        <w:jc w:val="both"/>
        <w:rPr>
          <w:rFonts w:ascii="Times New Roman" w:hAnsi="Times New Roman" w:cs="Times New Roman"/>
          <w:sz w:val="24"/>
        </w:rPr>
      </w:pPr>
      <w:r>
        <w:rPr>
          <w:rFonts w:cs="Times New Roman" w:ascii="Times New Roman" w:hAnsi="Times New Roman"/>
          <w:sz w:val="24"/>
        </w:rPr>
      </w:r>
    </w:p>
    <w:p>
      <w:pPr>
        <w:pStyle w:val="Normal"/>
        <w:spacing w:lineRule="auto" w:line="480"/>
        <w:jc w:val="both"/>
        <w:rPr>
          <w:rFonts w:ascii="Times New Roman" w:hAnsi="Times New Roman" w:cs="Times New Roman"/>
          <w:sz w:val="24"/>
        </w:rPr>
      </w:pPr>
      <w:r>
        <w:rPr>
          <w:rFonts w:cs="Times New Roman" w:ascii="Times New Roman" w:hAnsi="Times New Roman"/>
          <w:sz w:val="24"/>
        </w:rPr>
      </w:r>
    </w:p>
    <w:p>
      <w:pPr>
        <w:pStyle w:val="Normal"/>
        <w:spacing w:lineRule="auto" w:line="480"/>
        <w:jc w:val="both"/>
        <w:rPr>
          <w:rFonts w:ascii="Times New Roman" w:hAnsi="Times New Roman" w:cs="Times New Roman"/>
          <w:sz w:val="24"/>
        </w:rPr>
      </w:pPr>
      <w:r>
        <w:rPr>
          <w:rFonts w:cs="Times New Roman" w:ascii="Times New Roman" w:hAnsi="Times New Roman"/>
          <w:sz w:val="24"/>
        </w:rPr>
      </w:r>
    </w:p>
    <w:p>
      <w:pPr>
        <w:pStyle w:val="Normal"/>
        <w:spacing w:lineRule="auto" w:line="480"/>
        <w:jc w:val="both"/>
        <w:rPr/>
      </w:pPr>
      <w:r>
        <w:rPr>
          <w:rFonts w:cs="Times New Roman" w:ascii="Times New Roman" w:hAnsi="Times New Roman"/>
          <w:b/>
          <w:sz w:val="24"/>
        </w:rPr>
        <w:t xml:space="preserve">Discussion </w:t>
      </w:r>
      <w:r>
        <w:rPr>
          <w:rFonts w:cs="Times New Roman" w:ascii="Times New Roman" w:hAnsi="Times New Roman"/>
          <w:b/>
          <w:sz w:val="24"/>
          <w:szCs w:val="24"/>
        </w:rPr>
        <w:commentReference w:id="8"/>
      </w:r>
    </w:p>
    <w:p>
      <w:pPr>
        <w:pStyle w:val="Normal"/>
        <w:spacing w:lineRule="auto" w:line="480"/>
        <w:jc w:val="both"/>
        <w:rPr>
          <w:rFonts w:ascii="Times New Roman" w:hAnsi="Times New Roman" w:cs="Times New Roman"/>
          <w:sz w:val="24"/>
          <w:szCs w:val="24"/>
        </w:rPr>
      </w:pPr>
      <w:commentRangeStart w:id="9"/>
      <w:r>
        <w:rPr>
          <w:rFonts w:cs="Times New Roman" w:ascii="Times New Roman" w:hAnsi="Times New Roman"/>
          <w:sz w:val="24"/>
          <w:szCs w:val="24"/>
        </w:rPr>
        <w:t>It was determined</w:t>
      </w:r>
      <w:r>
        <w:rPr>
          <w:rFonts w:cs="Times New Roman" w:ascii="Times New Roman" w:hAnsi="Times New Roman"/>
          <w:sz w:val="24"/>
          <w:szCs w:val="24"/>
        </w:rPr>
      </w:r>
      <w:commentRangeEnd w:id="9"/>
      <w:r>
        <w:commentReference w:id="9"/>
      </w:r>
      <w:r>
        <w:rPr>
          <w:rFonts w:cs="Times New Roman" w:ascii="Times New Roman" w:hAnsi="Times New Roman"/>
          <w:sz w:val="24"/>
          <w:szCs w:val="24"/>
        </w:rPr>
        <w:t xml:space="preserve"> that instar phases differed from one another and that every consecutive phase varies from its previous and following phase. Differences between scaling exponents </w:t>
      </w:r>
      <w:bookmarkStart w:id="1" w:name="__DdeLink__2362_1340661634"/>
      <w:commentRangeStart w:id="10"/>
      <w:r>
        <w:rPr>
          <w:rFonts w:cs="Times New Roman" w:ascii="Times New Roman" w:hAnsi="Times New Roman"/>
          <w:sz w:val="24"/>
          <w:szCs w:val="24"/>
        </w:rPr>
        <w:t xml:space="preserve">between and </w:t>
      </w:r>
      <w:bookmarkEnd w:id="1"/>
      <w:r>
        <w:rPr>
          <w:rFonts w:cs="Times New Roman" w:ascii="Times New Roman" w:hAnsi="Times New Roman"/>
          <w:sz w:val="24"/>
          <w:szCs w:val="24"/>
        </w:rPr>
      </w:r>
      <w:commentRangeEnd w:id="10"/>
      <w:r>
        <w:commentReference w:id="10"/>
      </w:r>
      <w:r>
        <w:rPr>
          <w:rFonts w:cs="Times New Roman" w:ascii="Times New Roman" w:hAnsi="Times New Roman"/>
          <w:sz w:val="24"/>
          <w:szCs w:val="24"/>
        </w:rPr>
        <w:t>within instars may be related to the particulars of the growth process. Based on histological studies of the Manduca gut epithelium (Baldwin and Hakim 1991), it appears that during each instar, larvae grow primarily through cell expansion rather than cell division. During moult, not only do new cells proliferate from stem cells but also existing cells shrink, such that epithelial cells are approximately the same size at the beginning of each instar, despite an estimated 200-fold increase in cell number and epithelial surface area from ﬁrst to ﬁfth instar (Baldwin and Hakim 1991</w:t>
      </w:r>
      <w:r>
        <w:rPr>
          <w:rFonts w:cs="Times New Roman" w:ascii="Times New Roman" w:hAnsi="Times New Roman"/>
          <w:sz w:val="24"/>
          <w:szCs w:val="24"/>
        </w:rPr>
        <w:commentReference w:id="11"/>
      </w:r>
      <w:r>
        <w:rPr>
          <w:rFonts w:cs="Times New Roman" w:ascii="Times New Roman" w:hAnsi="Times New Roman"/>
          <w:sz w:val="24"/>
          <w:szCs w:val="24"/>
        </w:rPr>
        <w:t>). In larval insects, the diameters of major tracheae and spiracles are generally ﬁxed during an instar. In Manduca, mass speciﬁc tracheal system conductance decreases almost 50% on average as animals grow within each of the ﬁrst four instars (Greenlee and Harrison 2005), suggesting that as animals grow, the delivery capacity of the tracheal system may not be able to keep up with their expanding oxygen demands. Thus, the increase in metabolic intensity observed across instars may result from the restoration of oxygen supplies when the major tracheae and spiracles are replaced at moult. This suggests that different patterns of metabolic scaling may be present in supply</w:t>
      </w:r>
      <w:commentRangeStart w:id="12"/>
      <w:r>
        <w:rPr>
          <w:rFonts w:cs="Times New Roman" w:ascii="Times New Roman" w:hAnsi="Times New Roman"/>
          <w:sz w:val="24"/>
          <w:szCs w:val="24"/>
        </w:rPr>
        <w:t>-</w:t>
      </w:r>
      <w:r>
        <w:rPr>
          <w:rFonts w:cs="Times New Roman" w:ascii="Times New Roman" w:hAnsi="Times New Roman"/>
          <w:sz w:val="24"/>
          <w:szCs w:val="24"/>
        </w:rPr>
      </w:r>
      <w:commentRangeEnd w:id="12"/>
      <w:r>
        <w:commentReference w:id="12"/>
      </w:r>
      <w:r>
        <w:rPr>
          <w:rFonts w:cs="Times New Roman" w:ascii="Times New Roman" w:hAnsi="Times New Roman"/>
          <w:sz w:val="24"/>
          <w:szCs w:val="24"/>
        </w:rPr>
        <w:t xml:space="preserve"> versus demand-driven systems.</w:t>
      </w:r>
    </w:p>
    <w:p>
      <w:pPr>
        <w:pStyle w:val="Normal"/>
        <w:spacing w:lineRule="auto" w:line="480"/>
        <w:jc w:val="both"/>
        <w:rPr/>
      </w:pPr>
      <w:r>
        <w:rPr>
          <w:rFonts w:cs="Times New Roman" w:ascii="Times New Roman" w:hAnsi="Times New Roman"/>
          <w:sz w:val="24"/>
          <w:szCs w:val="24"/>
        </w:rPr>
        <w:t>There is a correlation (Figure 2.) and influence (Figure 3.) between body mass (g) and metabolic rate (uL CO</w:t>
      </w:r>
      <w:r>
        <w:rPr>
          <w:rFonts w:cs="Times New Roman" w:ascii="Times New Roman" w:hAnsi="Times New Roman"/>
          <w:sz w:val="24"/>
          <w:szCs w:val="24"/>
          <w:vertAlign w:val="subscript"/>
        </w:rPr>
        <w:t>2</w:t>
      </w:r>
      <w:r>
        <w:rPr>
          <w:rFonts w:cs="Times New Roman" w:ascii="Times New Roman" w:hAnsi="Times New Roman"/>
          <w:sz w:val="24"/>
          <w:szCs w:val="24"/>
        </w:rPr>
        <w:t xml:space="preserve"> h</w:t>
      </w:r>
      <w:r>
        <w:rPr>
          <w:rFonts w:cs="Times New Roman" w:ascii="Times New Roman" w:hAnsi="Times New Roman"/>
          <w:sz w:val="24"/>
          <w:szCs w:val="24"/>
          <w:vertAlign w:val="superscript"/>
        </w:rPr>
        <w:t>-1</w:t>
      </w:r>
      <w:r>
        <w:rPr>
          <w:rFonts w:cs="Times New Roman" w:ascii="Times New Roman" w:hAnsi="Times New Roman"/>
          <w:sz w:val="24"/>
          <w:szCs w:val="24"/>
        </w:rPr>
        <w:t xml:space="preserve">). It </w:t>
      </w:r>
      <w:r>
        <w:rPr>
          <w:rFonts w:cs="Times New Roman" w:ascii="Times New Roman" w:hAnsi="Times New Roman"/>
          <w:sz w:val="24"/>
          <w:szCs w:val="24"/>
          <w:shd w:fill="FFFFFF" w:val="clear"/>
        </w:rPr>
        <w:t xml:space="preserve">suggested that metabolic rate is driven by cell-membrane-dependent processes, and that the scaling of metabolic rate is determined by the changes in the proportion of membranes per unit volume. Other hypotheses about demand-driven metabolic rates suggests that growth rate (and by extension, metabolic rate) reflects the growth potential of tissues for cell proliferation and growth, which decrease as the tissues achieve functional maturity; metabolic rate is not limited by resource supply, but by tissue growth potential. Although this argument is plausible, there is no straightforward way to measure “tissue growth potential”. (Sears </w:t>
      </w:r>
      <w:r>
        <w:rPr>
          <w:rFonts w:cs="Times New Roman" w:ascii="Times New Roman" w:hAnsi="Times New Roman"/>
          <w:i/>
          <w:sz w:val="24"/>
          <w:szCs w:val="24"/>
          <w:shd w:fill="FFFFFF" w:val="clear"/>
        </w:rPr>
        <w:t xml:space="preserve">et al. </w:t>
      </w:r>
      <w:r>
        <w:rPr>
          <w:rFonts w:cs="Times New Roman" w:ascii="Times New Roman" w:hAnsi="Times New Roman"/>
          <w:sz w:val="24"/>
          <w:szCs w:val="24"/>
          <w:shd w:fill="FFFFFF" w:val="clear"/>
        </w:rPr>
        <w:t xml:space="preserve">2012). </w:t>
      </w:r>
      <w:r>
        <w:rPr>
          <w:rFonts w:cs="Times New Roman" w:ascii="Times New Roman" w:hAnsi="Times New Roman"/>
          <w:sz w:val="24"/>
          <w:szCs w:val="24"/>
          <w:shd w:fill="FFFFFF" w:val="clear"/>
        </w:rPr>
        <w:commentReference w:id="13"/>
      </w:r>
    </w:p>
    <w:p>
      <w:pPr>
        <w:pStyle w:val="Normal"/>
        <w:spacing w:lineRule="auto" w:line="480"/>
        <w:jc w:val="both"/>
        <w:rPr>
          <w:rFonts w:ascii="Times New Roman" w:hAnsi="Times New Roman" w:cs="Times New Roman"/>
          <w:b/>
          <w:b/>
          <w:sz w:val="24"/>
        </w:rPr>
      </w:pPr>
      <w:r>
        <w:rPr>
          <w:rFonts w:cs="Times New Roman" w:ascii="Times New Roman" w:hAnsi="Times New Roman"/>
          <w:b/>
          <w:sz w:val="24"/>
        </w:rPr>
        <w:t>Conclusion</w:t>
      </w:r>
    </w:p>
    <w:p>
      <w:pPr>
        <w:pStyle w:val="Normal"/>
        <w:spacing w:lineRule="auto" w:line="480"/>
        <w:jc w:val="both"/>
        <w:rPr/>
      </w:pPr>
      <w:r>
        <w:rPr>
          <w:rFonts w:cs="Times New Roman" w:ascii="Times New Roman" w:hAnsi="Times New Roman"/>
          <w:sz w:val="24"/>
        </w:rPr>
        <w:t>Instar phases variation is due to the increase</w:t>
      </w:r>
      <w:r>
        <w:rPr>
          <w:rFonts w:cs="Times New Roman" w:ascii="Times New Roman" w:hAnsi="Times New Roman"/>
          <w:sz w:val="24"/>
          <w:szCs w:val="24"/>
        </w:rPr>
        <w:t xml:space="preserve"> in metabolic intensity which may have resulted from the restoration of oxygen supplies when the major tracheae and spiracles are replaced at moult. </w:t>
      </w:r>
      <w:r>
        <w:rPr>
          <w:rFonts w:cs="Times New Roman" w:ascii="Times New Roman" w:hAnsi="Times New Roman"/>
          <w:sz w:val="24"/>
        </w:rPr>
        <w:t>The m</w:t>
      </w:r>
      <w:r>
        <w:rPr>
          <w:rFonts w:cs="Times New Roman" w:ascii="Times New Roman" w:hAnsi="Times New Roman"/>
          <w:sz w:val="24"/>
          <w:szCs w:val="24"/>
          <w:shd w:fill="FFFFFF" w:val="clear"/>
        </w:rPr>
        <w:t>etabolic rate is driven by cell-membrane-dependent processes, and that the scaling of metabolic rate is determined by the changes in the proportion of membranes per unit volume.</w:t>
      </w:r>
      <w:r>
        <w:rPr>
          <w:rFonts w:cs="Times New Roman" w:ascii="Times New Roman" w:hAnsi="Times New Roman"/>
          <w:b/>
          <w:sz w:val="24"/>
          <w:szCs w:val="24"/>
          <w:shd w:fill="FFFFFF" w:val="clear"/>
        </w:rPr>
        <w:commentReference w:id="14"/>
      </w:r>
    </w:p>
    <w:p>
      <w:pPr>
        <w:pStyle w:val="Normal"/>
        <w:spacing w:lineRule="auto" w:line="480"/>
        <w:jc w:val="both"/>
        <w:rPr>
          <w:rFonts w:ascii="Times New Roman" w:hAnsi="Times New Roman" w:cs="Times New Roman"/>
          <w:b/>
          <w:b/>
          <w:sz w:val="24"/>
        </w:rPr>
      </w:pPr>
      <w:r>
        <w:rPr>
          <w:rFonts w:cs="Times New Roman" w:ascii="Times New Roman" w:hAnsi="Times New Roman"/>
          <w:b/>
          <w:sz w:val="24"/>
        </w:rPr>
        <w:t>References</w:t>
      </w:r>
    </w:p>
    <w:p>
      <w:pPr>
        <w:pStyle w:val="Normal"/>
        <w:spacing w:lineRule="auto" w:line="480"/>
        <w:jc w:val="both"/>
        <w:rPr>
          <w:rFonts w:ascii="Times New Roman" w:hAnsi="Times New Roman" w:cs="Times New Roman"/>
          <w:sz w:val="24"/>
        </w:rPr>
      </w:pPr>
      <w:r>
        <w:rPr>
          <w:rFonts w:cs="Times New Roman" w:ascii="Times New Roman" w:hAnsi="Times New Roman"/>
          <w:sz w:val="24"/>
        </w:rPr>
        <w:t xml:space="preserve">Baldwin K.M. and R.S. Hakim. 1991. Growth and differentiation of the larval midgut epithelium during molting in the moth, Manduca sexta. </w:t>
      </w:r>
      <w:r>
        <w:rPr>
          <w:rFonts w:cs="Times New Roman" w:ascii="Times New Roman" w:hAnsi="Times New Roman"/>
          <w:i/>
          <w:sz w:val="24"/>
        </w:rPr>
        <w:t>Tissue Cell</w:t>
      </w:r>
      <w:r>
        <w:rPr>
          <w:rFonts w:cs="Times New Roman" w:ascii="Times New Roman" w:hAnsi="Times New Roman"/>
          <w:sz w:val="24"/>
        </w:rPr>
        <w:t xml:space="preserve"> 23:411–422.</w:t>
      </w:r>
    </w:p>
    <w:p>
      <w:pPr>
        <w:pStyle w:val="Normal"/>
        <w:spacing w:lineRule="auto" w:line="480"/>
        <w:jc w:val="both"/>
        <w:rPr>
          <w:rFonts w:ascii="Times New Roman" w:hAnsi="Times New Roman" w:cs="Times New Roman"/>
          <w:sz w:val="24"/>
        </w:rPr>
      </w:pPr>
      <w:r>
        <w:rPr>
          <w:rFonts w:cs="Times New Roman" w:ascii="Times New Roman" w:hAnsi="Times New Roman"/>
          <w:sz w:val="24"/>
        </w:rPr>
        <w:t>Chamberlin M.E., C.M. Gibellato, R.J. Noecker, and E.J. Dankoski. 1997. Changes in midgut active ion transport and metabolism during larval-larval moulting in the tobacco hornworm (</w:t>
      </w:r>
      <w:r>
        <w:rPr>
          <w:rFonts w:cs="Times New Roman" w:ascii="Times New Roman" w:hAnsi="Times New Roman"/>
          <w:i/>
          <w:sz w:val="24"/>
        </w:rPr>
        <w:t>Manduca sexta</w:t>
      </w:r>
      <w:r>
        <w:rPr>
          <w:rFonts w:cs="Times New Roman" w:ascii="Times New Roman" w:hAnsi="Times New Roman"/>
          <w:sz w:val="24"/>
        </w:rPr>
        <w:t xml:space="preserve">). </w:t>
      </w:r>
      <w:r>
        <w:rPr>
          <w:rFonts w:cs="Times New Roman" w:ascii="Times New Roman" w:hAnsi="Times New Roman"/>
          <w:i/>
          <w:sz w:val="24"/>
        </w:rPr>
        <w:t>J Exp Biol</w:t>
      </w:r>
      <w:r>
        <w:rPr>
          <w:rFonts w:cs="Times New Roman" w:ascii="Times New Roman" w:hAnsi="Times New Roman"/>
          <w:sz w:val="24"/>
        </w:rPr>
        <w:t xml:space="preserve"> 200:643–648.</w:t>
      </w:r>
    </w:p>
    <w:p>
      <w:pPr>
        <w:pStyle w:val="Normal"/>
        <w:spacing w:lineRule="auto" w:line="480"/>
        <w:jc w:val="both"/>
        <w:rPr>
          <w:rFonts w:ascii="Times New Roman" w:hAnsi="Times New Roman" w:cs="Times New Roman"/>
          <w:sz w:val="24"/>
        </w:rPr>
      </w:pPr>
      <w:r>
        <w:rPr>
          <w:rFonts w:cs="Times New Roman" w:ascii="Times New Roman" w:hAnsi="Times New Roman"/>
          <w:sz w:val="24"/>
        </w:rPr>
        <w:t xml:space="preserve">Greenlee K.J. and J.F. Harrison. 2005. Respiratory changes throughout ontogeny in the tobacco hornworm caterpillar, </w:t>
      </w:r>
      <w:r>
        <w:rPr>
          <w:rFonts w:cs="Times New Roman" w:ascii="Times New Roman" w:hAnsi="Times New Roman"/>
          <w:i/>
          <w:sz w:val="24"/>
        </w:rPr>
        <w:t>Manduca sexta. J Exp Biol</w:t>
      </w:r>
      <w:r>
        <w:rPr>
          <w:rFonts w:cs="Times New Roman" w:ascii="Times New Roman" w:hAnsi="Times New Roman"/>
          <w:sz w:val="24"/>
        </w:rPr>
        <w:t xml:space="preserve"> 208:1385–1392</w:t>
      </w:r>
    </w:p>
    <w:p>
      <w:pPr>
        <w:pStyle w:val="Normal"/>
        <w:spacing w:lineRule="auto" w:line="480"/>
        <w:jc w:val="both"/>
        <w:rPr/>
      </w:pPr>
      <w:r>
        <w:rPr>
          <w:rFonts w:cs="Times New Roman" w:ascii="Times New Roman" w:hAnsi="Times New Roman"/>
          <w:sz w:val="24"/>
        </w:rPr>
        <w:t xml:space="preserve">Sears K.E., Kerkhoff A.J., Messerman A. and Itagaki H. 2012. Ontogenetic scaling of metabolism, growth and assimilation: Testing metabolic scaling theory with </w:t>
      </w:r>
      <w:r>
        <w:rPr>
          <w:rFonts w:cs="Times New Roman" w:ascii="Times New Roman" w:hAnsi="Times New Roman"/>
          <w:i/>
          <w:sz w:val="24"/>
        </w:rPr>
        <w:t>Manduca sexta</w:t>
      </w:r>
      <w:r>
        <w:rPr>
          <w:rFonts w:cs="Times New Roman" w:ascii="Times New Roman" w:hAnsi="Times New Roman"/>
          <w:sz w:val="24"/>
        </w:rPr>
        <w:t xml:space="preserve"> larvae. </w:t>
      </w:r>
      <w:r>
        <w:rPr>
          <w:rFonts w:cs="Times New Roman" w:ascii="Times New Roman" w:hAnsi="Times New Roman"/>
          <w:i/>
          <w:sz w:val="24"/>
        </w:rPr>
        <w:t>Physiological and Biochemical Zoology</w:t>
      </w:r>
      <w:r>
        <w:rPr>
          <w:rFonts w:cs="Times New Roman" w:ascii="Times New Roman" w:hAnsi="Times New Roman"/>
          <w:sz w:val="24"/>
        </w:rPr>
        <w:t xml:space="preserve"> 85(2):159–173.</w:t>
      </w:r>
      <w:r>
        <w:rPr>
          <w:rFonts w:cs="Times New Roman" w:ascii="Times New Roman" w:hAnsi="Times New Roman"/>
          <w:sz w:val="24"/>
        </w:rPr>
        <w:commentReference w:id="15"/>
      </w:r>
    </w:p>
    <w:p>
      <w:pPr>
        <w:pStyle w:val="Normal"/>
        <w:spacing w:lineRule="auto" w:line="480" w:before="0" w:after="160"/>
        <w:jc w:val="both"/>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05-14T19:12:48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Introduction: (6)</w:t>
      </w:r>
    </w:p>
  </w:comment>
  <w:comment w:id="1" w:author="Unknown Author" w:date="2019-05-14T19:08:36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Clearly states the aims. What are the limitations? What are the assumptions? What are the hypotheses.</w:t>
      </w:r>
    </w:p>
  </w:comment>
  <w:comment w:id="2" w:author="Unknown Author" w:date="2019-05-14T19:11:58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Nice! Well written. Clearly descibes with significant detail the methods to collect data but also to analuse the data (8)</w:t>
      </w:r>
    </w:p>
  </w:comment>
  <w:comment w:id="3" w:author="Unknown Author" w:date="2019-05-14T19:14:21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w:t>
      </w:r>
    </w:p>
  </w:comment>
  <w:comment w:id="4" w:author="Unknown Author" w:date="2019-05-14T19:15:45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This will be removed.</w:t>
      </w:r>
    </w:p>
  </w:comment>
  <w:comment w:id="5" w:author="Unknown Author" w:date="2019-05-14T19:15:55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Only interpret the graph. So this is fine</w:t>
      </w:r>
    </w:p>
  </w:comment>
  <w:comment w:id="6" w:author="Unknown Author" w:date="2019-05-14T19:14:53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 xml:space="preserve"> Here you should not mention anything about the hypothesis. But it should be mentioned in the introduction</w:t>
      </w:r>
    </w:p>
  </w:comment>
  <w:comment w:id="7" w:author="Unknown Author" w:date="2019-05-14T19:17:16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Results: (5)</w:t>
      </w:r>
    </w:p>
  </w:comment>
  <w:comment w:id="8" w:author="Unknown Author" w:date="2019-05-14T19:18:48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The first sentence of the discussion should state the major finding.</w:t>
      </w:r>
    </w:p>
  </w:comment>
  <w:comment w:id="9" w:author="Unknown Author" w:date="2019-05-14T19:19:10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Maybe start with this study conclude that.... or simply start by ssaying “Instar phases differed.....”</w:t>
      </w:r>
    </w:p>
  </w:comment>
  <w:comment w:id="10" w:author="Unknown Author" w:date="2019-05-14T19:20:17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Among and within is a better way of writing...</w:t>
      </w:r>
    </w:p>
  </w:comment>
  <w:comment w:id="11" w:author="Unknown Author" w:date="2019-05-14T19:20:50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This is a very long sentence</w:t>
      </w:r>
    </w:p>
  </w:comment>
  <w:comment w:id="12" w:author="Unknown Author" w:date="2019-05-14T19:21:27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w:t>
      </w:r>
    </w:p>
  </w:comment>
  <w:comment w:id="13" w:author="Unknown Author" w:date="2019-05-14T19:21:48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(6)</w:t>
      </w:r>
    </w:p>
  </w:comment>
  <w:comment w:id="14" w:author="Unknown Author" w:date="2019-05-14T19:18:15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(4)</w:t>
      </w:r>
    </w:p>
  </w:comment>
  <w:comment w:id="15" w:author="Unknown Author" w:date="2019-05-14T19:18:27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(4)</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91"/>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ZA"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ZA"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44232"/>
    <w:rPr>
      <w:rFonts w:ascii="Segoe UI" w:hAnsi="Segoe UI" w:cs="Segoe UI"/>
      <w:sz w:val="18"/>
      <w:szCs w:val="18"/>
    </w:rPr>
  </w:style>
  <w:style w:type="character" w:styleId="InternetLink">
    <w:name w:val="Internet Link"/>
    <w:basedOn w:val="DefaultParagraphFont"/>
    <w:uiPriority w:val="99"/>
    <w:semiHidden/>
    <w:unhideWhenUsed/>
    <w:rsid w:val="00524f70"/>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44232"/>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microsoft.com/office/2007/relationships/hdphoto" Target="media/hdphoto1.wdp"/><Relationship Id="rId4" Type="http://schemas.openxmlformats.org/officeDocument/2006/relationships/image" Target="media/image2.png"/><Relationship Id="rId5" Type="http://schemas.microsoft.com/office/2007/relationships/hdphoto" Target="media/hdphoto2.wdp"/><Relationship Id="rId6" Type="http://schemas.openxmlformats.org/officeDocument/2006/relationships/image" Target="media/image3.png"/><Relationship Id="rId7" Type="http://schemas.microsoft.com/office/2007/relationships/hdphoto" Target="media/hdphoto3.wdp"/><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LibreOffice/6.0.7.3$Linux_X86_64 LibreOffice_project/00m0$Build-3</Application>
  <Pages>10</Pages>
  <Words>1518</Words>
  <Characters>8201</Characters>
  <CharactersWithSpaces>9688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2019-05-13T21:52:00Z</dcterms:created>
  <dc:creator>Arend</dc:creator>
  <dc:description/>
  <dc:language>en-ZA</dc:language>
  <cp:lastModifiedBy/>
  <dcterms:modified xsi:type="dcterms:W3CDTF">2019-05-14T19:21:56Z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