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/>
  <w:body>
    <w:p>
      <w:pPr>
        <w:bidi/>
        <w:spacing w:before="0" w:after="480" w:line="240" w:lineRule="auto"/>
        <w:jc w:val="center"/>
      </w:pPr>
      <w:r>
        <w:rPr>
          <w:rFonts w:ascii="Arial" w:hAnsi="Arial" w:cs="Arial"/>
          <w:b/>
          <w:color w:val="FFFFFF"/>
          <w:sz w:val="64"/>
          <w:bCs/>
          <w:rtl/>
          <w:szCs w:val="64"/>
          <w:lang w:bidi="ar-EG"/>
        </w:rPr>
        <w:t>١. ما النقود؟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النقود هي كلُّ ما يحظى بقبولٍ عامٍّ وسيلةً لسداد ثمن السلع والخدمات.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تُمكِّن النقود الأفراد من البيع والشراء والادخار وقياس القيمة الاقتصادية.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تعتمد الاقتصادات الحديثة أساسًا على النقود الإلزامية (القانونية) التي تُصدَر بموجب سلطة الحكومة.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 xml:space="preserve">أمثلة: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الأوراق النقدية، و</w:t>
      </w:r>
      <w:r>
        <w:rPr>
          <w:rFonts w:ascii="Arial" w:hAnsi="Arial" w:cs="Arial"/>
          <w:b/>
          <w:color w:val="FFC000"/>
          <w:sz w:val="56"/>
          <w:bCs/>
          <w:rtl/>
          <w:szCs w:val="56"/>
          <w:lang w:bidi="ar-EG"/>
        </w:rPr>
        <w:t>المسكوكات المعدنية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، والودائع المصرفية.</w:t>
      </w:r>
    </w:p>
    <w:p>
      <w:pPr>
        <w:pageBreakBefore/>
        <w:bidi/>
        <w:spacing w:before="0" w:after="480" w:line="240" w:lineRule="auto"/>
        <w:jc w:val="center"/>
      </w:pPr>
      <w:r>
        <w:rPr>
          <w:rFonts w:ascii="Arial" w:hAnsi="Arial" w:cs="Arial"/>
          <w:b/>
          <w:color w:val="FFFFFF"/>
          <w:sz w:val="64"/>
          <w:bCs/>
          <w:rtl/>
          <w:szCs w:val="64"/>
          <w:lang w:bidi="ar-EG"/>
        </w:rPr>
        <w:t>٢. لماذا نحتاج إلى النقود؟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في غياب النقود، يعتمد التبادل على نظام المقايضة.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تتطلب المقايضة توافقًا مزدوجًا للرغبات.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مثال: مزارعٌ يرغب في الحصول على أحذية، وصانعُ أحذيةٍ يرغب في الحصول على القمح في الوقت ذاته.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تُيسِّر النقود عملية التبادل وتُخفِّض تكاليف المعاملات.</w:t>
      </w:r>
    </w:p>
    <w:p>
      <w:pPr>
        <w:pageBreakBefore/>
        <w:bidi/>
        <w:spacing w:before="0" w:after="480" w:line="240" w:lineRule="auto"/>
        <w:jc w:val="center"/>
      </w:pPr>
      <w:r>
        <w:rPr>
          <w:rFonts w:ascii="Arial" w:hAnsi="Arial" w:cs="Arial"/>
          <w:b/>
          <w:color w:val="FFFFFF"/>
          <w:sz w:val="64"/>
          <w:bCs/>
          <w:rtl/>
          <w:szCs w:val="64"/>
          <w:lang w:bidi="ar-EG"/>
        </w:rPr>
        <w:t>٣. الوظائف الأربع الرئيسة للنقود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وسيطٌ للتبادل — تُستخدم في عمليات البيع والشراء.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وحدةٌ للحساب — توفر أساسًا مشتركًا للتعبير عن الأسعار.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مخزنٌ للقيمة — تتيح نقل القوة الشرائية إلى المستقبل.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معيارٌ للمدفوعات الآجلة — تُستخدم في تسوية الديون والعقود المستقبلية.</w:t>
      </w:r>
    </w:p>
    <w:p>
      <w:pPr>
        <w:pageBreakBefore/>
        <w:bidi/>
        <w:spacing w:before="0" w:after="480" w:line="240" w:lineRule="auto"/>
        <w:jc w:val="center"/>
      </w:pPr>
      <w:r>
        <w:rPr>
          <w:rFonts w:ascii="Arial" w:hAnsi="Arial" w:cs="Arial"/>
          <w:b/>
          <w:color w:val="FFFFFF"/>
          <w:sz w:val="64"/>
          <w:bCs/>
          <w:rtl/>
          <w:szCs w:val="64"/>
          <w:lang w:bidi="ar-EG"/>
        </w:rPr>
        <w:t>٤. خصائص النقود الجيدة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القبول العام — استعداد الأفراد لقبولها.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القدرة على التحمُّل — إمكانية استخدامها مرارًا.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سهولة الحمل — يسهل حملها أو تحويلها.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قابلية التجزئة — إمكانية تقسيمها إلى وحداتٍ أصغر.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سهولة التمييز — يستطيع المستخدمون التعرف عليها بسهولة.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الاستقرار النسبي في القيمة.</w:t>
      </w:r>
    </w:p>
    <w:p>
      <w:pPr>
        <w:pageBreakBefore/>
        <w:bidi/>
        <w:spacing w:before="0" w:after="480" w:line="240" w:lineRule="auto"/>
        <w:jc w:val="center"/>
      </w:pPr>
      <w:r>
        <w:rPr>
          <w:rFonts w:ascii="Arial" w:hAnsi="Arial" w:cs="Arial"/>
          <w:b/>
          <w:color w:val="FFFFFF"/>
          <w:sz w:val="64"/>
          <w:bCs/>
          <w:rtl/>
          <w:szCs w:val="64"/>
          <w:lang w:bidi="ar-EG"/>
        </w:rPr>
        <w:t>٥. أنواع النقود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 xml:space="preserve">النقود السلعية: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لها قيمةٌ ذاتية، كالذهب في الأنظمة النقدية التاريخية.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 xml:space="preserve">النقود الإلزامية: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تستمد قيمتها أساسًا من قبولها القانوني والثقة بها.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 xml:space="preserve">النقد: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الأوراق النقدية والمسكوكات المعدنية.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 xml:space="preserve">نقود الودائع: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الأموال المودعة في الحسابات المصرفية والمستخدمة في المدفوعات.</w:t>
      </w:r>
    </w:p>
    <w:p>
      <w:pPr>
        <w:pageBreakBefore/>
        <w:bidi/>
        <w:spacing w:before="0" w:after="480" w:line="240" w:lineRule="auto"/>
        <w:jc w:val="center"/>
      </w:pPr>
      <w:r>
        <w:rPr>
          <w:rFonts w:ascii="Arial" w:hAnsi="Arial" w:cs="Arial"/>
          <w:b/>
          <w:color w:val="FFFFFF"/>
          <w:sz w:val="64"/>
          <w:bCs/>
          <w:rtl/>
          <w:szCs w:val="64"/>
          <w:lang w:bidi="ar-EG"/>
        </w:rPr>
        <w:t xml:space="preserve">٦. النقود مقابل </w:t>
      </w:r>
      <w:r>
        <w:rPr>
          <w:rFonts w:ascii="Arial" w:hAnsi="Arial" w:cs="Arial"/>
          <w:b/>
          <w:color w:val="FFC000"/>
          <w:sz w:val="64"/>
          <w:bCs/>
          <w:rtl/>
          <w:szCs w:val="64"/>
          <w:lang w:bidi="ar-EG"/>
        </w:rPr>
        <w:t>الثروة</w:t>
      </w:r>
      <w:r>
        <w:rPr>
          <w:rFonts w:ascii="Arial" w:hAnsi="Arial" w:cs="Arial"/>
          <w:b/>
          <w:color w:val="FFFFFF"/>
          <w:sz w:val="64"/>
          <w:bCs/>
          <w:rtl/>
          <w:szCs w:val="64"/>
          <w:lang w:bidi="ar-EG"/>
        </w:rPr>
        <w:t xml:space="preserve"> مقابل </w:t>
      </w:r>
      <w:r>
        <w:rPr>
          <w:rFonts w:ascii="Arial" w:hAnsi="Arial" w:cs="Arial"/>
          <w:b/>
          <w:color w:val="FF0000"/>
          <w:sz w:val="64"/>
          <w:bCs/>
          <w:rtl/>
          <w:szCs w:val="64"/>
          <w:lang w:bidi="ar-EG"/>
        </w:rPr>
        <w:t>الدخل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 xml:space="preserve">النقود: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أصلٌ مالي يُستخدم في السداد.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C000"/>
          <w:sz w:val="56"/>
          <w:bCs/>
          <w:rtl/>
          <w:szCs w:val="56"/>
          <w:lang w:bidi="ar-EG"/>
        </w:rPr>
        <w:t xml:space="preserve">الثروة: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قيمة الأصول التي يمتلكها فردٌ أو مؤسسة.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0000"/>
          <w:sz w:val="56"/>
          <w:bCs/>
          <w:rtl/>
          <w:szCs w:val="56"/>
          <w:lang w:bidi="ar-EG"/>
        </w:rPr>
        <w:t xml:space="preserve">الدخل: </w:t>
      </w:r>
      <w:r>
        <w:rPr>
          <w:rFonts w:ascii="Arial" w:hAnsi="Arial" w:cs="Arial"/>
          <w:b/>
          <w:color w:val="FFFFFF"/>
          <w:sz w:val="56"/>
          <w:bCs/>
          <w:rtl/>
          <w:szCs w:val="56"/>
          <w:lang w:bidi="ar-EG"/>
        </w:rPr>
        <w:t>تدفقٌ يُكتسَب خلال فترةٍ زمنية محددة.</w:t>
      </w:r>
    </w:p>
    <w:p>
      <w:pPr>
        <w:bidi/>
        <w:spacing w:before="0" w:after="320" w:line="240" w:lineRule="auto"/>
        <w:jc w:val="both"/>
      </w:pPr>
      <w:r>
        <w:rPr>
          <w:rFonts w:ascii="Arial" w:hAnsi="Arial" w:cs="Arial"/>
          <w:b/>
          <w:color w:val="FFFF00"/>
          <w:sz w:val="56"/>
          <w:bCs/>
          <w:rtl/>
          <w:szCs w:val="56"/>
          <w:lang w:bidi="ar-EG"/>
        </w:rPr>
        <w:t>مثال: المنزل ثروة، والراتب دخل، والنقد الذي في محفظتك نقود.</w:t>
      </w:r>
    </w:p>
    <w:sectPr w:rsidR="00FC693F" w:rsidRPr="0006063C" w:rsidSect="00034616">
      <w:headerReference w:type="default" r:id="rId9"/>
      <w:pgSz w:w="14400" w:h="10800" w:orient="landscape"/>
      <w:pgMar w:top="720" w:right="864" w:bottom="576" w:left="864" w:header="0" w:footer="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2"/>
      </w:rP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144000" cy="6858000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0" cy="6858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