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0000"/>
  <w:body>
    <w:tbl>
      <w:tblPr>
        <w:bidiVisual/>
        <w:tblW w:w="1324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10944"/>
        <w:gridCol w:w="2304"/>
      </w:tblGrid>
      <w:tr>
        <w:trPr>
          <w:cantSplit/>
          <w:trHeight w:val="648" w:hRule="atLeast"/>
        </w:trPr>
        <w:tc>
          <w:tcPr>
            <w:tcW w:w="10944" w:type="dxa"/>
            <w:vAlign w:val="center"/>
          </w:tcPr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42"/>
                <w:szCs w:val="42"/>
                <w:rtl/>
                <w:lang w:bidi="ar-EG"/>
              </w:rPr>
              <w:t xml:space="preserve">النقود الورقية والنقود الإلزامية</w:t>
            </w:r>
          </w:p>
        </w:tc>
        <w:tc>
          <w:tcPr>
            <w:tcW w:w="2304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8C8C8C"/>
                <w:sz w:val="16"/>
                <w:szCs w:val="16"/>
                <w:rtl/>
                <w:lang w:bidi="ar-EG"/>
              </w:rPr>
              <w:t xml:space="preserve">التطور</w:t>
            </w:r>
          </w:p>
        </w:tc>
      </w:tr>
    </w:tbl>
    <w:p>
      <w:pPr>
        <w:bidi/>
        <w:spacing w:before="120" w:after="240" w:line="240" w:lineRule="auto"/>
        <w:jc w:val="left"/>
      </w:pPr>
      <w:r>
        <w:rPr>
          <w:rFonts w:ascii="Arial" w:hAnsi="Arial" w:cs="Arial"/>
          <w:b/>
          <w:bCs/>
          <w:color w:val="FFFF00"/>
          <w:sz w:val="36"/>
          <w:szCs w:val="36"/>
          <w:rtl/>
          <w:lang w:bidi="ar-EG"/>
        </w:rPr>
        <w:t xml:space="preserve">تستمد النقود الإلزامية الحديثة قيمتها أساسًا من قبولها العام ومن دعم النظام النقدي لها.</w:t>
      </w:r>
    </w:p>
    <w:tbl>
      <w:tblPr>
        <w:bidiVisual/>
        <w:tblW w:w="1304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100"/>
        <w:gridCol w:w="4104"/>
        <w:gridCol w:w="216"/>
        <w:gridCol w:w="100"/>
        <w:gridCol w:w="4104"/>
        <w:gridCol w:w="216"/>
        <w:gridCol w:w="100"/>
        <w:gridCol w:w="4104"/>
      </w:tblGrid>
      <w:tr>
        <w:trPr>
          <w:cantSplit/>
          <w:trHeight w:val="2736" w:hRule="atLeast"/>
        </w:trPr>
        <w:tc>
          <w:tcPr>
            <w:tcW w:w="100" w:type="dxa"/>
            <w:shd w:val="clear" w:color="auto" w:fill="2E5C9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4104" w:type="dxa"/>
            <w:shd w:val="clear" w:color="auto" w:fill="FFFFFF"/>
            <w:vAlign w:val="top"/>
          </w:tcPr>
          <w:p>
            <w:pPr>
              <w:bidi/>
              <w:spacing w:before="0" w:after="12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1"/>
                <w:szCs w:val="31"/>
                <w:rtl/>
                <w:lang w:bidi="ar-EG"/>
              </w:rPr>
              <w:t xml:space="preserve">الاعتراف القانوني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595959"/>
                <w:sz w:val="26"/>
                <w:szCs w:val="26"/>
                <w:rtl/>
                <w:lang w:bidi="ar-EG"/>
              </w:rPr>
              <w:t xml:space="preserve">معترفٌ بها في إطار النظامين النقدي والقانوني.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100" w:type="dxa"/>
            <w:shd w:val="clear" w:color="auto" w:fill="1F7A7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4104" w:type="dxa"/>
            <w:shd w:val="clear" w:color="auto" w:fill="FFFFFF"/>
            <w:vAlign w:val="top"/>
          </w:tcPr>
          <w:p>
            <w:pPr>
              <w:bidi/>
              <w:spacing w:before="0" w:after="12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1"/>
                <w:szCs w:val="31"/>
                <w:rtl/>
                <w:lang w:bidi="ar-EG"/>
              </w:rPr>
              <w:t xml:space="preserve">الثقة العامة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595959"/>
                <w:sz w:val="26"/>
                <w:szCs w:val="26"/>
                <w:rtl/>
                <w:lang w:bidi="ar-EG"/>
              </w:rPr>
              <w:t xml:space="preserve">يتوقع الأفراد أن يقبلها الآخرون.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100" w:type="dxa"/>
            <w:shd w:val="clear" w:color="auto" w:fill="E8A33C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4104" w:type="dxa"/>
            <w:shd w:val="clear" w:color="auto" w:fill="FFFFFF"/>
            <w:vAlign w:val="top"/>
          </w:tcPr>
          <w:p>
            <w:pPr>
              <w:bidi/>
              <w:spacing w:before="0" w:after="12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1"/>
                <w:szCs w:val="31"/>
                <w:rtl/>
                <w:lang w:bidi="ar-EG"/>
              </w:rPr>
              <w:t xml:space="preserve">القبول العام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595959"/>
                <w:sz w:val="26"/>
                <w:szCs w:val="26"/>
                <w:rtl/>
                <w:lang w:bidi="ar-EG"/>
              </w:rPr>
              <w:t xml:space="preserve">يمكن استخدامها في شراء السلع وتسوية الديون.</w:t>
            </w:r>
          </w:p>
        </w:tc>
      </w:tr>
    </w:tbl>
    <w:p>
      <w:pPr>
        <w:bidi/>
        <w:spacing w:before="360" w:after="80" w:line="240" w:lineRule="auto"/>
        <w:jc w:val="left"/>
      </w:pPr>
      <w:r>
        <w:rPr>
          <w:rFonts w:ascii="Arial" w:hAnsi="Arial" w:cs="Arial"/>
          <w:b/>
          <w:bCs/>
          <w:color w:val="FFFFFF"/>
          <w:sz w:val="40"/>
          <w:szCs w:val="40"/>
          <w:rtl/>
          <w:lang w:bidi="ar-EG"/>
        </w:rPr>
        <w:t xml:space="preserve">النقود المصرفية: الودائع</w:t>
      </w:r>
    </w:p>
    <w:p>
      <w:pPr>
        <w:bidi/>
        <w:spacing w:before="120" w:after="240" w:line="240" w:lineRule="auto"/>
        <w:jc w:val="left"/>
      </w:pPr>
      <w:r>
        <w:rPr>
          <w:rFonts w:ascii="Arial" w:hAnsi="Arial" w:cs="Arial"/>
          <w:b/>
          <w:bCs/>
          <w:color w:val="FFFF00"/>
          <w:sz w:val="38"/>
          <w:szCs w:val="38"/>
          <w:rtl/>
          <w:lang w:bidi="ar-EG"/>
        </w:rPr>
        <w:t xml:space="preserve">ليست النقود كلُّها نقدًا.</w:t>
      </w:r>
    </w:p>
    <w:tbl>
      <w:tblPr>
        <w:bidiVisual/>
        <w:tblW w:w="1298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4176"/>
        <w:gridCol w:w="216"/>
        <w:gridCol w:w="100"/>
        <w:gridCol w:w="4104"/>
        <w:gridCol w:w="216"/>
        <w:gridCol w:w="4176"/>
      </w:tblGrid>
      <w:tr>
        <w:trPr>
          <w:cantSplit/>
          <w:trHeight w:val="2088" w:hRule="atLeast"/>
        </w:trPr>
        <w:tc>
          <w:tcPr>
            <w:tcW w:w="4176" w:type="dxa"/>
            <w:shd w:val="clear" w:color="auto" w:fill="FFFFFF"/>
            <w:vAlign w:val="top"/>
          </w:tcPr>
          <w:p>
            <w:pPr>
              <w:bidi/>
              <w:spacing w:before="0" w:after="16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4"/>
                <w:szCs w:val="34"/>
                <w:rtl/>
                <w:lang w:bidi="ar-EG"/>
              </w:rPr>
              <w:t xml:space="preserve">الإيداع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يُودِع أحمد ٢٠٬٠٠٠ جنيه مصري.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100" w:type="dxa"/>
            <w:shd w:val="clear" w:color="auto" w:fill="2E5C9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4104" w:type="dxa"/>
            <w:shd w:val="clear" w:color="auto" w:fill="FFFFFF"/>
            <w:vAlign w:val="top"/>
          </w:tcPr>
          <w:p>
            <w:pPr>
              <w:bidi/>
              <w:spacing w:before="0" w:after="16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4"/>
                <w:szCs w:val="34"/>
                <w:rtl/>
                <w:lang w:bidi="ar-EG"/>
              </w:rPr>
              <w:t xml:space="preserve">الدفع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التحويل • بطاقة الخصم • سداد الفواتير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4176" w:type="dxa"/>
            <w:shd w:val="clear" w:color="auto" w:fill="FFFFFF"/>
            <w:vAlign w:val="top"/>
          </w:tcPr>
          <w:p>
            <w:pPr>
              <w:bidi/>
              <w:spacing w:before="0" w:after="16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4"/>
                <w:szCs w:val="34"/>
                <w:rtl/>
                <w:lang w:bidi="ar-EG"/>
              </w:rPr>
              <w:t xml:space="preserve">النتيجة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إتمام السداد دون انتقال الأوراق النقدية فعليًا.</w:t>
            </w:r>
          </w:p>
        </w:tc>
      </w:tr>
    </w:tbl>
    <w:p>
      <w:pPr>
        <w:sectPr>
          <w:headerReference w:type="default" r:id="rId9"/>
          <w:footerReference w:type="default" r:id="rId10"/>
          <w:pgSz w:w="14400" w:h="10800" w:orient="landscape"/>
          <w:pgMar w:top="648" w:right="576" w:bottom="576" w:left="576" w:header="0" w:footer="216" w:gutter="0"/>
          <w:cols w:space="720"/>
          <w:bidi/>
          <w:docGrid w:linePitch="360"/>
        </w:sectPr>
      </w:pPr>
    </w:p>
    <w:tbl>
      <w:tblPr>
        <w:bidiVisual/>
        <w:tblW w:w="1324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10944"/>
        <w:gridCol w:w="2304"/>
      </w:tblGrid>
      <w:tr>
        <w:trPr>
          <w:cantSplit/>
          <w:trHeight w:val="648" w:hRule="atLeast"/>
        </w:trPr>
        <w:tc>
          <w:tcPr>
            <w:tcW w:w="10944" w:type="dxa"/>
            <w:vAlign w:val="center"/>
          </w:tcPr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42"/>
                <w:szCs w:val="42"/>
                <w:rtl/>
                <w:lang w:bidi="ar-EG"/>
              </w:rPr>
              <w:t xml:space="preserve">العملات المشفّرة: أصلٌ رقمي من نوعٍ مختلف</w:t>
            </w:r>
          </w:p>
        </w:tc>
        <w:tc>
          <w:tcPr>
            <w:tcW w:w="2304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8C8C8C"/>
                <w:sz w:val="16"/>
                <w:szCs w:val="16"/>
                <w:rtl/>
                <w:lang w:bidi="ar-EG"/>
              </w:rPr>
              <w:t xml:space="preserve">العصر الرقمي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bidiVisual/>
        <w:tblW w:w="1287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100"/>
        <w:gridCol w:w="6048"/>
        <w:gridCol w:w="576"/>
        <w:gridCol w:w="100"/>
        <w:gridCol w:w="6048"/>
      </w:tblGrid>
      <w:tr>
        <w:trPr>
          <w:cantSplit/>
          <w:trHeight w:val="3744" w:hRule="atLeast"/>
        </w:trPr>
        <w:tc>
          <w:tcPr>
            <w:tcW w:w="100" w:type="dxa"/>
            <w:shd w:val="clear" w:color="auto" w:fill="1F7A7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6048" w:type="dxa"/>
            <w:shd w:val="clear" w:color="auto" w:fill="FFFFFF"/>
            <w:vAlign w:val="top"/>
          </w:tcPr>
          <w:p>
            <w:pPr>
              <w:bidi/>
              <w:spacing w:before="0" w:after="12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2"/>
                <w:szCs w:val="32"/>
                <w:rtl/>
                <w:lang w:bidi="ar-EG"/>
              </w:rPr>
              <w:t xml:space="preserve">المزايا المحتملة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إجراء المعاملات مباشرةً بين الأطراف (من النظير إلى النظير)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إمكانية التحويل عبر الحدود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سجلات رقمية لإثبات الملكية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تطبيقات قابلة للبرمجة</w:t>
            </w:r>
          </w:p>
        </w:tc>
        <w:tc>
          <w:tcPr>
            <w:tcW w:w="57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100" w:type="dxa"/>
            <w:shd w:val="clear" w:color="auto" w:fill="C0504D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6048" w:type="dxa"/>
            <w:shd w:val="clear" w:color="auto" w:fill="FFFFFF"/>
            <w:vAlign w:val="top"/>
          </w:tcPr>
          <w:p>
            <w:pPr>
              <w:bidi/>
              <w:spacing w:before="0" w:after="12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2"/>
                <w:szCs w:val="32"/>
                <w:rtl/>
                <w:lang w:bidi="ar-EG"/>
              </w:rPr>
              <w:t xml:space="preserve">المخاطر والتحديات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التقلب الحاد في الأسعار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مخاطر الأمن السيبراني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الاحتيال وعمليات النصب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عدم اليقين التنظيمي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مخاوف تتعلق بحماية المستهلك</w:t>
            </w:r>
          </w:p>
        </w:tc>
      </w:tr>
    </w:tbl>
    <w:p>
      <w:pPr>
        <w:bidi/>
        <w:spacing w:before="320" w:after="40" w:line="240" w:lineRule="auto"/>
        <w:jc w:val="left"/>
      </w:pPr>
      <w:r>
        <w:rPr>
          <w:rFonts w:ascii="Arial" w:hAnsi="Arial" w:cs="Arial"/>
          <w:b/>
          <w:bCs/>
          <w:color w:val="FFFF00"/>
          <w:sz w:val="36"/>
          <w:szCs w:val="36"/>
          <w:rtl/>
          <w:lang w:bidi="ar-EG"/>
        </w:rPr>
        <w:t xml:space="preserve">ليس كلُّ أصلٍ رقمي نقودًا.</w:t>
      </w:r>
    </w:p>
    <w:p>
      <w:pPr>
        <w:sectPr>
          <w:headerReference w:type="default" r:id="rId11"/>
          <w:footerReference w:type="default" r:id="rId12"/>
          <w:pgSz w:w="14400" w:h="10800" w:orient="landscape"/>
          <w:pgMar w:top="648" w:right="576" w:bottom="576" w:left="576" w:header="0" w:footer="216" w:gutter="0"/>
          <w:cols w:space="720"/>
          <w:bidi/>
          <w:docGrid w:linePitch="360"/>
        </w:sectPr>
      </w:pPr>
    </w:p>
    <w:tbl>
      <w:tblPr>
        <w:bidiVisual/>
        <w:tblW w:w="1324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10944"/>
        <w:gridCol w:w="2304"/>
      </w:tblGrid>
      <w:tr>
        <w:trPr>
          <w:cantSplit/>
          <w:trHeight w:val="648" w:hRule="atLeast"/>
        </w:trPr>
        <w:tc>
          <w:tcPr>
            <w:tcW w:w="10944" w:type="dxa"/>
            <w:vAlign w:val="center"/>
          </w:tcPr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42"/>
                <w:szCs w:val="42"/>
                <w:rtl/>
                <w:lang w:bidi="ar-EG"/>
              </w:rPr>
              <w:t xml:space="preserve">أداة الدفع ≠ النقود</w:t>
            </w:r>
          </w:p>
        </w:tc>
        <w:tc>
          <w:tcPr>
            <w:tcW w:w="2304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8C8C8C"/>
                <w:sz w:val="16"/>
                <w:szCs w:val="16"/>
                <w:rtl/>
                <w:lang w:bidi="ar-EG"/>
              </w:rPr>
              <w:t xml:space="preserve">النقود الحديثة</w:t>
            </w:r>
          </w:p>
        </w:tc>
      </w:tr>
    </w:tbl>
    <w:p>
      <w:pPr>
        <w:spacing w:before="0" w:after="0" w:line="120" w:lineRule="exact"/>
        <w:rPr>
          <w:sz w:val="2"/>
        </w:rPr>
      </w:pPr>
    </w:p>
    <w:tbl>
      <w:tblPr>
        <w:bidiVisual/>
        <w:tblW w:w="1287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100"/>
        <w:gridCol w:w="5903"/>
        <w:gridCol w:w="864"/>
        <w:gridCol w:w="100"/>
        <w:gridCol w:w="5903"/>
      </w:tblGrid>
      <w:tr>
        <w:trPr>
          <w:cantSplit/>
          <w:trHeight w:val="2520" w:hRule="atLeast"/>
        </w:trPr>
        <w:tc>
          <w:tcPr>
            <w:tcW w:w="100" w:type="dxa"/>
            <w:shd w:val="clear" w:color="auto" w:fill="2E5C9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5903" w:type="dxa"/>
            <w:shd w:val="clear" w:color="auto" w:fill="FFFFFF"/>
            <w:vAlign w:val="top"/>
          </w:tcPr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4"/>
                <w:szCs w:val="34"/>
                <w:rtl/>
                <w:lang w:bidi="ar-EG"/>
              </w:rPr>
              <w:t xml:space="preserve">بطاقة الخصم</w:t>
            </w:r>
          </w:p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أداة دفع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تتيح لك الوصول إلى الأموال وإجراء المدفوعات إلكترونيًا.</w:t>
            </w:r>
          </w:p>
        </w:tc>
        <w:tc>
          <w:tcPr>
            <w:tcW w:w="86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100" w:type="dxa"/>
            <w:shd w:val="clear" w:color="auto" w:fill="1F7A7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5903" w:type="dxa"/>
            <w:shd w:val="clear" w:color="auto" w:fill="FFFFFF"/>
            <w:vAlign w:val="top"/>
          </w:tcPr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4"/>
                <w:szCs w:val="34"/>
                <w:rtl/>
                <w:lang w:bidi="ar-EG"/>
              </w:rPr>
              <w:t xml:space="preserve">الوديعة المصرفية</w:t>
            </w:r>
          </w:p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أصلٌ نقدي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يمكن تحويل الأموال المودعة أو استخدامها في السداد.</w:t>
            </w:r>
          </w:p>
        </w:tc>
      </w:tr>
    </w:tbl>
    <w:p>
      <w:pPr>
        <w:bidi/>
        <w:spacing w:before="240" w:after="120" w:line="240" w:lineRule="auto"/>
        <w:jc w:val="left"/>
      </w:pPr>
      <w:r>
        <w:rPr>
          <w:rFonts w:ascii="Arial" w:hAnsi="Arial" w:cs="Arial"/>
          <w:b/>
          <w:bCs/>
          <w:color w:val="FFFF00"/>
          <w:sz w:val="30"/>
          <w:szCs w:val="30"/>
          <w:rtl/>
          <w:lang w:bidi="ar-EG"/>
        </w:rPr>
        <w:t xml:space="preserve">قد تتغير وسيلة الدفع دون أن تتغير الوظيفة الاقتصادية الأساسية للنقود.</w:t>
      </w:r>
    </w:p>
    <w:p>
      <w:pPr>
        <w:bidi/>
        <w:spacing w:before="200" w:after="200" w:line="240" w:lineRule="auto"/>
        <w:jc w:val="left"/>
      </w:pPr>
      <w:r>
        <w:rPr>
          <w:rFonts w:ascii="Arial" w:hAnsi="Arial" w:cs="Arial"/>
          <w:b/>
          <w:bCs/>
          <w:color w:val="FFFFFF"/>
          <w:sz w:val="40"/>
          <w:szCs w:val="40"/>
          <w:rtl/>
          <w:lang w:bidi="ar-EG"/>
        </w:rPr>
        <w:t xml:space="preserve">النقود الرقمية والشمول المالي</w:t>
      </w:r>
    </w:p>
    <w:tbl>
      <w:tblPr>
        <w:bidiVisual/>
        <w:tblW w:w="129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4176"/>
        <w:gridCol w:w="216"/>
        <w:gridCol w:w="4176"/>
        <w:gridCol w:w="216"/>
        <w:gridCol w:w="4176"/>
      </w:tblGrid>
      <w:tr>
        <w:trPr>
          <w:cantSplit/>
          <w:trHeight w:val="2736" w:hRule="atLeast"/>
        </w:trPr>
        <w:tc>
          <w:tcPr>
            <w:tcW w:w="4176" w:type="dxa"/>
            <w:shd w:val="clear" w:color="auto" w:fill="FFFFFF"/>
            <w:vAlign w:val="top"/>
          </w:tcPr>
          <w:p>
            <w:pPr>
              <w:bidi/>
              <w:spacing w:before="0" w:after="10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0"/>
                <w:szCs w:val="30"/>
                <w:rtl/>
                <w:lang w:bidi="ar-EG"/>
              </w:rPr>
              <w:t xml:space="preserve">المحافظ الرقمية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6"/>
                <w:szCs w:val="26"/>
                <w:rtl/>
                <w:lang w:bidi="ar-EG"/>
              </w:rPr>
              <w:t xml:space="preserve">سداد الفواتير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6"/>
                <w:szCs w:val="26"/>
                <w:rtl/>
                <w:lang w:bidi="ar-EG"/>
              </w:rPr>
              <w:t xml:space="preserve">تحويل الأموال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6"/>
                <w:szCs w:val="26"/>
                <w:rtl/>
                <w:lang w:bidi="ar-EG"/>
              </w:rPr>
              <w:t xml:space="preserve">شراء المنتجات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6"/>
                <w:szCs w:val="26"/>
                <w:rtl/>
                <w:lang w:bidi="ar-EG"/>
              </w:rPr>
              <w:t xml:space="preserve">استلام الأموال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4176" w:type="dxa"/>
            <w:shd w:val="clear" w:color="auto" w:fill="FFFFFF"/>
            <w:vAlign w:val="top"/>
          </w:tcPr>
          <w:p>
            <w:pPr>
              <w:bidi/>
              <w:spacing w:before="0" w:after="10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0"/>
                <w:szCs w:val="30"/>
                <w:rtl/>
                <w:lang w:bidi="ar-EG"/>
              </w:rPr>
              <w:t xml:space="preserve">الخدمات الرقمية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6"/>
                <w:szCs w:val="26"/>
                <w:rtl/>
                <w:lang w:bidi="ar-EG"/>
              </w:rPr>
              <w:t xml:space="preserve">الاستعلام عن الأرصدة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6"/>
                <w:szCs w:val="26"/>
                <w:rtl/>
                <w:lang w:bidi="ar-EG"/>
              </w:rPr>
              <w:t xml:space="preserve">التحويلات الإلكترونية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6"/>
                <w:szCs w:val="26"/>
                <w:rtl/>
                <w:lang w:bidi="ar-EG"/>
              </w:rPr>
              <w:t xml:space="preserve">المدفوعات عبر الهاتف المحمول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6"/>
                <w:szCs w:val="26"/>
                <w:rtl/>
                <w:lang w:bidi="ar-EG"/>
              </w:rPr>
              <w:t xml:space="preserve">الخدمات المصرفية عبر الإنترنت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4176" w:type="dxa"/>
            <w:shd w:val="clear" w:color="auto" w:fill="FFFFFF"/>
            <w:vAlign w:val="top"/>
          </w:tcPr>
          <w:p>
            <w:pPr>
              <w:bidi/>
              <w:spacing w:before="0" w:after="10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0"/>
                <w:szCs w:val="30"/>
                <w:rtl/>
                <w:lang w:bidi="ar-EG"/>
              </w:rPr>
              <w:t xml:space="preserve">الشمول المالي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6"/>
                <w:szCs w:val="26"/>
                <w:rtl/>
                <w:lang w:bidi="ar-EG"/>
              </w:rPr>
              <w:t xml:space="preserve">استلام الرواتب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6"/>
                <w:szCs w:val="26"/>
                <w:rtl/>
                <w:lang w:bidi="ar-EG"/>
              </w:rPr>
              <w:t xml:space="preserve">سداد الفواتير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6"/>
                <w:szCs w:val="26"/>
                <w:rtl/>
                <w:lang w:bidi="ar-EG"/>
              </w:rPr>
              <w:t xml:space="preserve">الادخار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26"/>
                <w:szCs w:val="26"/>
                <w:rtl/>
                <w:lang w:bidi="ar-EG"/>
              </w:rPr>
              <w:t xml:space="preserve">الوصول إلى الخدمات المالية</w:t>
            </w:r>
          </w:p>
        </w:tc>
      </w:tr>
    </w:tbl>
    <w:p>
      <w:pPr>
        <w:sectPr>
          <w:headerReference w:type="default" r:id="rId13"/>
          <w:footerReference w:type="default" r:id="rId14"/>
          <w:pgSz w:w="14400" w:h="10800" w:orient="landscape"/>
          <w:pgMar w:top="648" w:right="576" w:bottom="576" w:left="576" w:header="0" w:footer="216" w:gutter="0"/>
          <w:cols w:space="720"/>
          <w:bidi/>
          <w:docGrid w:linePitch="360"/>
        </w:sectPr>
      </w:pPr>
    </w:p>
    <w:p>
      <w:pPr>
        <w:spacing w:before="0" w:after="0" w:line="600" w:lineRule="exact"/>
        <w:rPr>
          <w:sz w:val="2"/>
        </w:rPr>
      </w:pPr>
    </w:p>
    <w:p>
      <w:pPr>
        <w:bidi/>
        <w:spacing w:before="120" w:after="840" w:line="240" w:lineRule="auto"/>
        <w:jc w:val="center"/>
      </w:pPr>
      <w:r>
        <w:rPr>
          <w:rFonts w:ascii="Arial" w:hAnsi="Arial" w:cs="Arial"/>
          <w:b/>
          <w:bCs/>
          <w:color w:val="FFC000"/>
          <w:sz w:val="68"/>
          <w:szCs w:val="68"/>
          <w:rtl/>
          <w:lang w:bidi="ar-EG"/>
        </w:rPr>
        <w:t xml:space="preserve">التطور التاريخي للنقود</w:t>
      </w:r>
    </w:p>
    <w:tbl>
      <w:tblPr>
        <w:bidiVisual/>
        <w:tblW w:w="1307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1497"/>
        <w:gridCol w:w="432"/>
        <w:gridCol w:w="1497"/>
        <w:gridCol w:w="432"/>
        <w:gridCol w:w="1497"/>
        <w:gridCol w:w="432"/>
        <w:gridCol w:w="1497"/>
        <w:gridCol w:w="432"/>
        <w:gridCol w:w="1497"/>
        <w:gridCol w:w="432"/>
        <w:gridCol w:w="1497"/>
        <w:gridCol w:w="432"/>
        <w:gridCol w:w="1497"/>
      </w:tblGrid>
      <w:tr>
        <w:trPr>
          <w:cantSplit/>
          <w:trHeight w:val="1152" w:hRule="atLeast"/>
        </w:trPr>
        <w:tc>
          <w:tcPr>
            <w:tcW w:w="14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E0A33A"/>
                <w:sz w:val="120"/>
                <w:szCs w:val="120"/>
                <w:rtl/>
                <w:lang w:bidi="ar-EG"/>
              </w:rPr>
              <w:t xml:space="preserve">●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D9A23A"/>
                <w:sz w:val="52"/>
                <w:szCs w:val="52"/>
                <w:rtl/>
                <w:lang w:bidi="ar-EG"/>
              </w:rPr>
              <w:t xml:space="preserve">◄</w:t>
            </w:r>
          </w:p>
        </w:tc>
        <w:tc>
          <w:tcPr>
            <w:tcW w:w="14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7A72"/>
                <w:sz w:val="120"/>
                <w:szCs w:val="120"/>
                <w:rtl/>
                <w:lang w:bidi="ar-EG"/>
              </w:rPr>
              <w:t xml:space="preserve">●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D9A23A"/>
                <w:sz w:val="52"/>
                <w:szCs w:val="52"/>
                <w:rtl/>
                <w:lang w:bidi="ar-EG"/>
              </w:rPr>
              <w:t xml:space="preserve">◄</w:t>
            </w:r>
          </w:p>
        </w:tc>
        <w:tc>
          <w:tcPr>
            <w:tcW w:w="14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2A5A93"/>
                <w:sz w:val="120"/>
                <w:szCs w:val="120"/>
                <w:rtl/>
                <w:lang w:bidi="ar-EG"/>
              </w:rPr>
              <w:t xml:space="preserve">●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D9A23A"/>
                <w:sz w:val="52"/>
                <w:szCs w:val="52"/>
                <w:rtl/>
                <w:lang w:bidi="ar-EG"/>
              </w:rPr>
              <w:t xml:space="preserve">◄</w:t>
            </w:r>
          </w:p>
        </w:tc>
        <w:tc>
          <w:tcPr>
            <w:tcW w:w="14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3C8A55"/>
                <w:sz w:val="120"/>
                <w:szCs w:val="120"/>
                <w:rtl/>
                <w:lang w:bidi="ar-EG"/>
              </w:rPr>
              <w:t xml:space="preserve">●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D9A23A"/>
                <w:sz w:val="52"/>
                <w:szCs w:val="52"/>
                <w:rtl/>
                <w:lang w:bidi="ar-EG"/>
              </w:rPr>
              <w:t xml:space="preserve">◄</w:t>
            </w:r>
          </w:p>
        </w:tc>
        <w:tc>
          <w:tcPr>
            <w:tcW w:w="14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E0A33A"/>
                <w:sz w:val="120"/>
                <w:szCs w:val="120"/>
                <w:rtl/>
                <w:lang w:bidi="ar-EG"/>
              </w:rPr>
              <w:t xml:space="preserve">●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D9A23A"/>
                <w:sz w:val="52"/>
                <w:szCs w:val="52"/>
                <w:rtl/>
                <w:lang w:bidi="ar-EG"/>
              </w:rPr>
              <w:t xml:space="preserve">◄</w:t>
            </w:r>
          </w:p>
        </w:tc>
        <w:tc>
          <w:tcPr>
            <w:tcW w:w="14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7A72"/>
                <w:sz w:val="120"/>
                <w:szCs w:val="120"/>
                <w:rtl/>
                <w:lang w:bidi="ar-EG"/>
              </w:rPr>
              <w:t xml:space="preserve">●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D9A23A"/>
                <w:sz w:val="52"/>
                <w:szCs w:val="52"/>
                <w:rtl/>
                <w:lang w:bidi="ar-EG"/>
              </w:rPr>
              <w:t xml:space="preserve">◄</w:t>
            </w:r>
          </w:p>
        </w:tc>
        <w:tc>
          <w:tcPr>
            <w:tcW w:w="14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2A5A93"/>
                <w:sz w:val="120"/>
                <w:szCs w:val="120"/>
                <w:rtl/>
                <w:lang w:bidi="ar-EG"/>
              </w:rPr>
              <w:t xml:space="preserve">●</w:t>
            </w:r>
          </w:p>
        </w:tc>
      </w:tr>
      <w:tr>
        <w:trPr>
          <w:cantSplit/>
          <w:trHeight w:val="1007" w:hRule="atLeast"/>
        </w:trPr>
        <w:tc>
          <w:tcPr>
            <w:tcW w:w="1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  <w:rtl/>
                <w:lang w:bidi="ar-EG"/>
              </w:rPr>
              <w:t xml:space="preserve">المقايضة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1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  <w:rtl/>
                <w:lang w:bidi="ar-EG"/>
              </w:rPr>
              <w:t xml:space="preserve">النقود السلعية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1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  <w:rtl/>
                <w:lang w:bidi="ar-EG"/>
              </w:rPr>
              <w:t xml:space="preserve">النقود المعدنية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1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  <w:rtl/>
                <w:lang w:bidi="ar-EG"/>
              </w:rPr>
              <w:t xml:space="preserve">النقود الورقية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1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  <w:rtl/>
                <w:lang w:bidi="ar-EG"/>
              </w:rPr>
              <w:t xml:space="preserve">النقود المصرفية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1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  <w:rtl/>
                <w:lang w:bidi="ar-EG"/>
              </w:rPr>
              <w:t xml:space="preserve">المدفوعات الإلكترونية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1497" w:type="dxa"/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6"/>
                <w:szCs w:val="26"/>
                <w:rtl/>
                <w:lang w:bidi="ar-EG"/>
              </w:rPr>
              <w:t xml:space="preserve">المدفوعات الرقمية</w:t>
            </w:r>
          </w:p>
        </w:tc>
      </w:tr>
    </w:tbl>
    <w:p>
      <w:pPr>
        <w:sectPr>
          <w:headerReference w:type="default" r:id="rId15"/>
          <w:footerReference w:type="default" r:id="rId16"/>
          <w:pgSz w:w="14400" w:h="10800" w:orient="landscape"/>
          <w:pgMar w:top="648" w:right="576" w:bottom="576" w:left="576" w:header="0" w:footer="216" w:gutter="0"/>
          <w:cols w:space="720"/>
          <w:bidi/>
          <w:docGrid w:linePitch="360"/>
        </w:sectPr>
      </w:pPr>
    </w:p>
    <w:p>
      <w:pPr>
        <w:bidi/>
        <w:spacing w:before="120" w:after="240" w:line="240" w:lineRule="auto"/>
        <w:jc w:val="center"/>
      </w:pPr>
      <w:r>
        <w:rPr>
          <w:rFonts w:ascii="Arial" w:hAnsi="Arial" w:cs="Arial"/>
          <w:b/>
          <w:bCs/>
          <w:color w:val="FFFFFF"/>
          <w:sz w:val="48"/>
          <w:szCs w:val="48"/>
          <w:rtl/>
          <w:lang w:bidi="ar-EG"/>
        </w:rPr>
        <w:t xml:space="preserve">٣. النقود بوصفها مخزنًا للقيمة</w:t>
      </w:r>
    </w:p>
    <w:tbl>
      <w:tblPr>
        <w:bidiVisual/>
        <w:tblW w:w="1310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6336"/>
        <w:gridCol w:w="432"/>
        <w:gridCol w:w="6336"/>
      </w:tblGrid>
      <w:tr>
        <w:trPr>
          <w:cantSplit/>
          <w:trHeight w:val="2232" w:hRule="atLeast"/>
        </w:trPr>
        <w:tc>
          <w:tcPr>
            <w:tcW w:w="6336" w:type="dxa"/>
            <w:shd w:val="clear" w:color="auto" w:fill="FFFFFF"/>
            <w:vAlign w:val="top"/>
          </w:tcPr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44"/>
                <w:szCs w:val="44"/>
                <w:rtl/>
                <w:lang w:bidi="ar-EG"/>
              </w:rPr>
              <w:t xml:space="preserve">اليوم</w:t>
            </w:r>
          </w:p>
          <w:p>
            <w:pPr>
              <w:bidi/>
              <w:spacing w:before="0" w:after="40" w:line="240" w:lineRule="auto"/>
              <w:jc w:val="left"/>
            </w:pPr>
            <w:r>
              <w:rPr>
                <w:rFonts w:ascii="Arial" w:hAnsi="Arial" w:cs="Arial"/>
                <w:color w:val="262626"/>
                <w:sz w:val="40"/>
                <w:szCs w:val="40"/>
                <w:rtl/>
                <w:lang w:bidi="ar-EG"/>
              </w:rPr>
              <w:t xml:space="preserve">تتسلّم ٥٬٠٠٠ جنيه مصري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40"/>
                <w:szCs w:val="40"/>
                <w:rtl/>
                <w:lang w:bidi="ar-EG"/>
              </w:rPr>
              <w:t xml:space="preserve">ولا تُنفقها كلها.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6336" w:type="dxa"/>
            <w:shd w:val="clear" w:color="auto" w:fill="FFFFFF"/>
            <w:vAlign w:val="top"/>
          </w:tcPr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44"/>
                <w:szCs w:val="44"/>
                <w:rtl/>
                <w:lang w:bidi="ar-EG"/>
              </w:rPr>
              <w:t xml:space="preserve">المستقبل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262626"/>
                <w:sz w:val="38"/>
                <w:szCs w:val="38"/>
                <w:rtl/>
                <w:lang w:bidi="ar-EG"/>
              </w:rPr>
              <w:t xml:space="preserve">استخدام المدخرات لاحقًا في شراء السلع والخدمات.</w:t>
            </w:r>
          </w:p>
        </w:tc>
      </w:tr>
    </w:tbl>
    <w:p>
      <w:pPr>
        <w:bidi/>
        <w:spacing w:before="360" w:after="160" w:line="240" w:lineRule="auto"/>
        <w:jc w:val="center"/>
      </w:pPr>
      <w:r>
        <w:rPr>
          <w:rFonts w:ascii="Arial" w:hAnsi="Arial" w:cs="Arial"/>
          <w:b/>
          <w:bCs/>
          <w:color w:val="FFC000"/>
          <w:sz w:val="40"/>
          <w:szCs w:val="40"/>
          <w:rtl/>
          <w:lang w:bidi="ar-EG"/>
        </w:rPr>
        <w:t xml:space="preserve">قد يؤدي التضخم إلى تآكل القوة الشرائية</w:t>
      </w:r>
    </w:p>
    <w:p>
      <w:pPr>
        <w:bidi/>
        <w:spacing w:before="120" w:after="240" w:line="240" w:lineRule="auto"/>
        <w:jc w:val="center"/>
      </w:pPr>
      <w:r>
        <w:rPr>
          <w:rFonts w:ascii="Arial" w:hAnsi="Arial" w:cs="Arial"/>
          <w:b/>
          <w:bCs/>
          <w:color w:val="FFFFFF"/>
          <w:sz w:val="44"/>
          <w:szCs w:val="44"/>
          <w:rtl/>
          <w:lang w:bidi="ar-EG"/>
        </w:rPr>
        <w:t xml:space="preserve">٤. النقود بوصفها معيارًا للمدفوعات الآجلة</w:t>
      </w:r>
    </w:p>
    <w:tbl>
      <w:tblPr>
        <w:bidiVisual/>
        <w:tblW w:w="129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4176"/>
        <w:gridCol w:w="216"/>
        <w:gridCol w:w="4176"/>
        <w:gridCol w:w="216"/>
        <w:gridCol w:w="4176"/>
      </w:tblGrid>
      <w:tr>
        <w:trPr>
          <w:cantSplit/>
          <w:trHeight w:val="2592" w:hRule="atLeast"/>
        </w:trPr>
        <w:tc>
          <w:tcPr>
            <w:tcW w:w="4176" w:type="dxa"/>
            <w:shd w:val="clear" w:color="auto" w:fill="FFFFFF"/>
            <w:vAlign w:val="top"/>
          </w:tcPr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44"/>
                <w:szCs w:val="44"/>
                <w:rtl/>
                <w:lang w:bidi="ar-EG"/>
              </w:rPr>
              <w:t xml:space="preserve">القرض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36"/>
                <w:szCs w:val="36"/>
                <w:rtl/>
                <w:lang w:bidi="ar-EG"/>
              </w:rPr>
              <w:t xml:space="preserve">سداد ١٠٠٬٠٠٠ جنيه مصري بعد عامٍ واحد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4176" w:type="dxa"/>
            <w:shd w:val="clear" w:color="auto" w:fill="FFFFFF"/>
            <w:vAlign w:val="top"/>
          </w:tcPr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44"/>
                <w:szCs w:val="44"/>
                <w:rtl/>
                <w:lang w:bidi="ar-EG"/>
              </w:rPr>
              <w:t xml:space="preserve">التقسيط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36"/>
                <w:szCs w:val="36"/>
                <w:rtl/>
                <w:lang w:bidi="ar-EG"/>
              </w:rPr>
              <w:t xml:space="preserve">السداد على مدى عدة أشهر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4176" w:type="dxa"/>
            <w:shd w:val="clear" w:color="auto" w:fill="FFFFFF"/>
            <w:vAlign w:val="top"/>
          </w:tcPr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44"/>
                <w:szCs w:val="44"/>
                <w:rtl/>
                <w:lang w:bidi="ar-EG"/>
              </w:rPr>
              <w:t xml:space="preserve">العقد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36"/>
                <w:szCs w:val="36"/>
                <w:rtl/>
                <w:lang w:bidi="ar-EG"/>
              </w:rPr>
              <w:t xml:space="preserve">تحديد التزامٍ نقدي</w:t>
            </w:r>
          </w:p>
        </w:tc>
      </w:tr>
    </w:tbl>
    <w:p>
      <w:pPr>
        <w:sectPr>
          <w:headerReference w:type="default" r:id="rId17"/>
          <w:footerReference w:type="default" r:id="rId18"/>
          <w:pgSz w:w="14400" w:h="10800" w:orient="landscape"/>
          <w:pgMar w:top="648" w:right="576" w:bottom="576" w:left="576" w:header="0" w:footer="216" w:gutter="0"/>
          <w:cols w:space="720"/>
          <w:bidi/>
          <w:docGrid w:linePitch="360"/>
        </w:sectPr>
      </w:pPr>
    </w:p>
    <w:p>
      <w:pPr>
        <w:bidi/>
        <w:spacing w:before="120" w:after="200" w:line="240" w:lineRule="auto"/>
        <w:jc w:val="center"/>
      </w:pPr>
      <w:r>
        <w:rPr>
          <w:rFonts w:ascii="Arial" w:hAnsi="Arial" w:cs="Arial"/>
          <w:b/>
          <w:bCs/>
          <w:color w:val="FFFFFF"/>
          <w:sz w:val="48"/>
          <w:szCs w:val="48"/>
          <w:rtl/>
          <w:lang w:bidi="ar-EG"/>
        </w:rPr>
        <w:t xml:space="preserve">١. النقود بوصفها وسيطًا للتبادل</w:t>
      </w:r>
    </w:p>
    <w:p>
      <w:pPr>
        <w:bidi/>
        <w:spacing w:before="120" w:after="280" w:line="240" w:lineRule="auto"/>
        <w:jc w:val="center"/>
      </w:pPr>
      <w:r>
        <w:rPr>
          <w:rFonts w:ascii="Arial" w:hAnsi="Arial" w:cs="Arial"/>
          <w:b/>
          <w:bCs/>
          <w:color w:val="FFFF00"/>
          <w:sz w:val="36"/>
          <w:szCs w:val="36"/>
          <w:rtl/>
          <w:lang w:bidi="ar-EG"/>
        </w:rPr>
        <w:t xml:space="preserve">تحظى النقود بقبولٍ عام في مقابل الحصول على السلع والخدمات.</w:t>
      </w:r>
    </w:p>
    <w:tbl>
      <w:tblPr>
        <w:bidiVisual/>
        <w:tblW w:w="1022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2448"/>
        <w:gridCol w:w="864"/>
        <w:gridCol w:w="3024"/>
        <w:gridCol w:w="864"/>
        <w:gridCol w:w="3024"/>
      </w:tblGrid>
      <w:tr>
        <w:trPr>
          <w:cantSplit/>
          <w:trHeight w:val="1296" w:hRule="atLeast"/>
        </w:trPr>
        <w:tc>
          <w:tcPr>
            <w:tcW w:w="2448" w:type="dxa"/>
            <w:shd w:val="clear" w:color="auto" w:fill="FFFFFF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2D4D"/>
                <w:sz w:val="28"/>
                <w:szCs w:val="28"/>
                <w:rtl/>
                <w:lang w:bidi="ar-EG"/>
              </w:rPr>
              <w:t xml:space="preserve">أنت</w:t>
            </w:r>
          </w:p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2D4D"/>
                <w:sz w:val="28"/>
                <w:szCs w:val="28"/>
                <w:rtl/>
                <w:lang w:bidi="ar-EG"/>
              </w:rPr>
              <w:t xml:space="preserve">النقود</w:t>
            </w:r>
          </w:p>
        </w:tc>
        <w:tc>
          <w:tcPr>
            <w:tcW w:w="8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88"/>
                <w:szCs w:val="88"/>
                <w:rtl/>
                <w:lang w:bidi="ar-EG"/>
              </w:rPr>
              <w:t xml:space="preserve">◄</w:t>
            </w:r>
          </w:p>
        </w:tc>
        <w:tc>
          <w:tcPr>
            <w:tcW w:w="3024" w:type="dxa"/>
            <w:shd w:val="clear" w:color="auto" w:fill="FFFFFF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2D4D"/>
                <w:sz w:val="28"/>
                <w:szCs w:val="28"/>
                <w:rtl/>
                <w:lang w:bidi="ar-EG"/>
              </w:rPr>
              <w:t xml:space="preserve">أمين الصندوق</w:t>
            </w:r>
          </w:p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2D4D"/>
                <w:sz w:val="28"/>
                <w:szCs w:val="28"/>
                <w:rtl/>
                <w:lang w:bidi="ar-EG"/>
              </w:rPr>
              <w:t xml:space="preserve">الدفع</w:t>
            </w:r>
          </w:p>
        </w:tc>
        <w:tc>
          <w:tcPr>
            <w:tcW w:w="8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88"/>
                <w:szCs w:val="88"/>
                <w:rtl/>
                <w:lang w:bidi="ar-EG"/>
              </w:rPr>
              <w:t xml:space="preserve">◄</w:t>
            </w:r>
          </w:p>
        </w:tc>
        <w:tc>
          <w:tcPr>
            <w:tcW w:w="3024" w:type="dxa"/>
            <w:shd w:val="clear" w:color="auto" w:fill="FFFFFF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2D4D"/>
                <w:sz w:val="28"/>
                <w:szCs w:val="28"/>
                <w:rtl/>
                <w:lang w:bidi="ar-EG"/>
              </w:rPr>
              <w:t xml:space="preserve">المتجر</w:t>
            </w:r>
          </w:p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2D4D"/>
                <w:sz w:val="28"/>
                <w:szCs w:val="28"/>
                <w:rtl/>
                <w:lang w:bidi="ar-EG"/>
              </w:rPr>
              <w:t xml:space="preserve">السلع</w:t>
            </w:r>
          </w:p>
        </w:tc>
      </w:tr>
    </w:tbl>
    <w:p>
      <w:pPr>
        <w:bidi/>
        <w:spacing w:before="480" w:after="200" w:line="240" w:lineRule="auto"/>
        <w:jc w:val="center"/>
      </w:pPr>
      <w:r>
        <w:rPr>
          <w:rFonts w:ascii="Arial" w:hAnsi="Arial" w:cs="Arial"/>
          <w:b/>
          <w:bCs/>
          <w:color w:val="FFFFFF"/>
          <w:sz w:val="48"/>
          <w:szCs w:val="48"/>
          <w:rtl/>
          <w:lang w:bidi="ar-EG"/>
        </w:rPr>
        <w:t xml:space="preserve">٢. النقود بوصفها وحدةً للحساب</w:t>
      </w:r>
    </w:p>
    <w:p>
      <w:pPr>
        <w:bidi/>
        <w:spacing w:before="120" w:after="280" w:line="240" w:lineRule="auto"/>
        <w:jc w:val="center"/>
      </w:pPr>
      <w:r>
        <w:rPr>
          <w:rFonts w:ascii="Arial" w:hAnsi="Arial" w:cs="Arial"/>
          <w:b/>
          <w:bCs/>
          <w:color w:val="FFFF00"/>
          <w:sz w:val="36"/>
          <w:szCs w:val="36"/>
          <w:rtl/>
          <w:lang w:bidi="ar-EG"/>
        </w:rPr>
        <w:t xml:space="preserve">توفر النقود لغةً مشتركة للتعبير عن الأسعار.</w:t>
      </w:r>
    </w:p>
    <w:tbl>
      <w:tblPr>
        <w:bidiVisual/>
        <w:tblW w:w="1180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3456"/>
        <w:gridCol w:w="360"/>
        <w:gridCol w:w="3456"/>
        <w:gridCol w:w="360"/>
        <w:gridCol w:w="4176"/>
      </w:tblGrid>
      <w:tr>
        <w:trPr>
          <w:cantSplit/>
          <w:trHeight w:val="1655" w:hRule="atLeast"/>
        </w:trPr>
        <w:tc>
          <w:tcPr>
            <w:tcW w:w="3456" w:type="dxa"/>
            <w:shd w:val="clear" w:color="auto" w:fill="FFFFFF"/>
            <w:vAlign w:val="center"/>
          </w:tcPr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40"/>
                <w:szCs w:val="40"/>
                <w:rtl/>
                <w:lang w:bidi="ar-EG"/>
              </w:rPr>
              <w:t xml:space="preserve">القهوة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40"/>
                <w:szCs w:val="40"/>
                <w:rtl/>
                <w:lang w:bidi="ar-EG"/>
              </w:rPr>
              <w:t xml:space="preserve">٨٠ ج.م</w:t>
            </w: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3456" w:type="dxa"/>
            <w:shd w:val="clear" w:color="auto" w:fill="FFFFFF"/>
            <w:vAlign w:val="center"/>
          </w:tcPr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40"/>
                <w:szCs w:val="40"/>
                <w:rtl/>
                <w:lang w:bidi="ar-EG"/>
              </w:rPr>
              <w:t xml:space="preserve">الكتاب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40"/>
                <w:szCs w:val="40"/>
                <w:rtl/>
                <w:lang w:bidi="ar-EG"/>
              </w:rPr>
              <w:t xml:space="preserve">٣٠٠ ج.م</w:t>
            </w: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4176" w:type="dxa"/>
            <w:shd w:val="clear" w:color="auto" w:fill="FFFFFF"/>
            <w:vAlign w:val="center"/>
          </w:tcPr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40"/>
                <w:szCs w:val="40"/>
                <w:rtl/>
                <w:lang w:bidi="ar-EG"/>
              </w:rPr>
              <w:t xml:space="preserve">الحاسوب المحمول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262626"/>
                <w:sz w:val="40"/>
                <w:szCs w:val="40"/>
                <w:rtl/>
                <w:lang w:bidi="ar-EG"/>
              </w:rPr>
              <w:t xml:space="preserve">٣٠٬٠٠٠ ج.م</w:t>
            </w:r>
          </w:p>
        </w:tc>
      </w:tr>
    </w:tbl>
    <w:p>
      <w:pPr>
        <w:sectPr>
          <w:headerReference w:type="default" r:id="rId19"/>
          <w:footerReference w:type="default" r:id="rId20"/>
          <w:pgSz w:w="14400" w:h="10800" w:orient="landscape"/>
          <w:pgMar w:top="648" w:right="576" w:bottom="576" w:left="576" w:header="0" w:footer="216" w:gutter="0"/>
          <w:cols w:space="720"/>
          <w:bidi/>
          <w:docGrid w:linePitch="360"/>
        </w:sectPr>
      </w:pPr>
    </w:p>
    <w:tbl>
      <w:tblPr>
        <w:bidiVisual/>
        <w:tblW w:w="1324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10944"/>
        <w:gridCol w:w="2304"/>
      </w:tblGrid>
      <w:tr>
        <w:trPr>
          <w:cantSplit/>
          <w:trHeight w:val="648" w:hRule="atLeast"/>
        </w:trPr>
        <w:tc>
          <w:tcPr>
            <w:tcW w:w="10944" w:type="dxa"/>
            <w:vAlign w:val="center"/>
          </w:tcPr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42"/>
                <w:szCs w:val="42"/>
                <w:rtl/>
                <w:lang w:bidi="ar-EG"/>
              </w:rPr>
              <w:t xml:space="preserve">النقود السلعية</w:t>
            </w:r>
          </w:p>
        </w:tc>
        <w:tc>
          <w:tcPr>
            <w:tcW w:w="2304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8C8C8C"/>
                <w:sz w:val="16"/>
                <w:szCs w:val="16"/>
                <w:rtl/>
                <w:lang w:bidi="ar-EG"/>
              </w:rPr>
              <w:t xml:space="preserve">التطور</w:t>
            </w:r>
          </w:p>
        </w:tc>
      </w:tr>
    </w:tbl>
    <w:p>
      <w:pPr>
        <w:bidi/>
        <w:spacing w:before="120" w:after="240" w:line="240" w:lineRule="auto"/>
        <w:jc w:val="center"/>
      </w:pPr>
      <w:r>
        <w:rPr>
          <w:rFonts w:ascii="Arial" w:hAnsi="Arial" w:cs="Arial"/>
          <w:b/>
          <w:bCs/>
          <w:color w:val="FFFF00"/>
          <w:sz w:val="34"/>
          <w:szCs w:val="34"/>
          <w:rtl/>
          <w:lang w:bidi="ar-EG"/>
        </w:rPr>
        <w:t xml:space="preserve">يمكن لسلعةٍ ذات قيمة استعمالية ذاتية أن تؤدي أيضًا وظيفة النقود.</w:t>
      </w:r>
    </w:p>
    <w:tbl>
      <w:tblPr>
        <w:bidiVisual/>
        <w:tblW w:w="1272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100"/>
        <w:gridCol w:w="5616"/>
        <w:gridCol w:w="720"/>
        <w:gridCol w:w="100"/>
        <w:gridCol w:w="6192"/>
      </w:tblGrid>
      <w:tr>
        <w:trPr>
          <w:cantSplit/>
          <w:trHeight w:val="1584" w:hRule="atLeast"/>
        </w:trPr>
        <w:tc>
          <w:tcPr>
            <w:tcW w:w="100" w:type="dxa"/>
            <w:shd w:val="clear" w:color="auto" w:fill="E8A33C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5616" w:type="dxa"/>
            <w:vAlign w:val="top"/>
          </w:tcPr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E8A33C"/>
                <w:sz w:val="32"/>
                <w:szCs w:val="32"/>
                <w:rtl/>
                <w:lang w:bidi="ar-EG"/>
              </w:rPr>
              <w:t xml:space="preserve">أمثلة تاريخية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E8A33C"/>
                <w:sz w:val="27"/>
                <w:szCs w:val="27"/>
                <w:rtl/>
                <w:lang w:bidi="ar-EG"/>
              </w:rPr>
              <w:t xml:space="preserve">الملح • الماشية • الحبوب • التبغ • الشاي • جلود الحيوانات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100" w:type="dxa"/>
            <w:shd w:val="clear" w:color="auto" w:fill="C0504D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6192" w:type="dxa"/>
            <w:vAlign w:val="top"/>
          </w:tcPr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E8A33C"/>
                <w:sz w:val="32"/>
                <w:szCs w:val="32"/>
                <w:rtl/>
                <w:lang w:bidi="ar-EG"/>
              </w:rPr>
              <w:t xml:space="preserve">أوجه القصور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E8A33C"/>
                <w:sz w:val="27"/>
                <w:szCs w:val="27"/>
                <w:rtl/>
                <w:lang w:bidi="ar-EG"/>
              </w:rPr>
              <w:t xml:space="preserve">صعوبة النقل • القابلية للتلف • التفاوت في الجودة • صعوبة التجزئة • تقلبات المعروض</w:t>
            </w:r>
          </w:p>
        </w:tc>
      </w:tr>
    </w:tbl>
    <w:p>
      <w:pPr>
        <w:bidi/>
        <w:spacing w:before="400" w:after="200" w:line="240" w:lineRule="auto"/>
        <w:jc w:val="left"/>
      </w:pPr>
      <w:r>
        <w:rPr>
          <w:rFonts w:ascii="Arial" w:hAnsi="Arial" w:cs="Arial"/>
          <w:b/>
          <w:bCs/>
          <w:color w:val="FFFFFF"/>
          <w:sz w:val="40"/>
          <w:szCs w:val="40"/>
          <w:rtl/>
          <w:lang w:bidi="ar-EG"/>
        </w:rPr>
        <w:t xml:space="preserve">النقود المعدنية والمسكوكات</w:t>
      </w:r>
    </w:p>
    <w:tbl>
      <w:tblPr>
        <w:bidiVisual/>
        <w:tblW w:w="1310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3888"/>
        <w:gridCol w:w="4608"/>
        <w:gridCol w:w="4608"/>
      </w:tblGrid>
      <w:tr>
        <w:trPr>
          <w:cantSplit/>
          <w:trHeight w:val="3311" w:hRule="atLeast"/>
        </w:trPr>
        <w:tc>
          <w:tcPr>
            <w:tcW w:w="3888" w:type="dxa"/>
            <w:vAlign w:val="top"/>
          </w:tcPr>
          <w:p>
            <w:pPr>
              <w:bidi/>
              <w:spacing w:before="0" w:after="12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42"/>
                <w:szCs w:val="42"/>
                <w:rtl/>
                <w:lang w:bidi="ar-EG"/>
              </w:rPr>
              <w:t xml:space="preserve">لماذا المعادن؟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متينة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سهلة الحمل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قابلة للتجزئة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سهلة التمييز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نادرة نسبيًا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سهلة التخزين</w:t>
            </w:r>
          </w:p>
        </w:tc>
        <w:tc>
          <w:tcPr>
            <w:tcW w:w="4608" w:type="dxa"/>
            <w:vAlign w:val="top"/>
          </w:tcPr>
          <w:p>
            <w:pPr>
              <w:bidi/>
              <w:spacing w:before="0" w:after="12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38"/>
                <w:szCs w:val="38"/>
                <w:rtl/>
                <w:lang w:bidi="ar-EG"/>
              </w:rPr>
              <w:t xml:space="preserve">لماذا المسكوكات؟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وزنٌ موحَّد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محتوى معدني موحَّد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علامة مميِّزة يسهل التعرف عليها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تقليل الحاجة إلى الوزن في كل معاملة</w:t>
            </w:r>
          </w:p>
        </w:tc>
        <w:tc>
          <w:tcPr>
            <w:tcW w:w="4608" w:type="dxa"/>
            <w:vAlign w:val="top"/>
          </w:tcPr>
          <w:p>
            <w:pPr>
              <w:bidi/>
              <w:spacing w:before="0" w:after="12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38"/>
                <w:szCs w:val="38"/>
                <w:rtl/>
                <w:lang w:bidi="ar-EG"/>
              </w:rPr>
              <w:t xml:space="preserve">أوجه القصور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ثقل الوزن عند التعامل بكمياتٍ كبيرة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مخاطر السرقة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تكاليف النقل والتخزين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FFFF00"/>
                <w:sz w:val="27"/>
                <w:szCs w:val="27"/>
                <w:rtl/>
                <w:lang w:bidi="ar-EG"/>
              </w:rPr>
              <w:t xml:space="preserve">محدودية توافر المعادن النفيسة</w:t>
            </w:r>
          </w:p>
        </w:tc>
      </w:tr>
    </w:tbl>
    <w:p>
      <w:pPr>
        <w:sectPr>
          <w:headerReference w:type="default" r:id="rId21"/>
          <w:footerReference w:type="default" r:id="rId22"/>
          <w:pgSz w:w="14400" w:h="10800" w:orient="landscape"/>
          <w:pgMar w:top="648" w:right="576" w:bottom="576" w:left="576" w:header="0" w:footer="216" w:gutter="0"/>
          <w:cols w:space="720"/>
          <w:bidi/>
          <w:docGrid w:linePitch="360"/>
        </w:sectPr>
      </w:pPr>
    </w:p>
    <w:p>
      <w:pPr>
        <w:bidi/>
        <w:spacing w:before="120" w:after="160" w:line="240" w:lineRule="auto"/>
        <w:jc w:val="center"/>
      </w:pPr>
      <w:r>
        <w:rPr>
          <w:rFonts w:ascii="Arial" w:hAnsi="Arial" w:cs="Arial"/>
          <w:b/>
          <w:bCs/>
          <w:color w:val="FFFFFF"/>
          <w:sz w:val="46"/>
          <w:szCs w:val="46"/>
          <w:rtl/>
          <w:lang w:bidi="ar-EG"/>
        </w:rPr>
        <w:t xml:space="preserve">قبل النقود: نظام المقايضة</w:t>
      </w:r>
    </w:p>
    <w:p>
      <w:pPr>
        <w:bidi/>
        <w:spacing w:before="120" w:after="240" w:line="240" w:lineRule="auto"/>
        <w:jc w:val="left"/>
      </w:pPr>
      <w:r>
        <w:rPr>
          <w:rFonts w:ascii="Arial" w:hAnsi="Arial" w:cs="Arial"/>
          <w:b/>
          <w:bCs/>
          <w:color w:val="FFFF00"/>
          <w:sz w:val="36"/>
          <w:szCs w:val="36"/>
          <w:rtl/>
          <w:lang w:bidi="ar-EG"/>
        </w:rPr>
        <w:t xml:space="preserve">المقايضة = التبادل المباشر لسلعةٍ أو خدمةٍ بسلعةٍ أو خدمةٍ أخرى</w:t>
      </w:r>
    </w:p>
    <w:tbl>
      <w:tblPr>
        <w:bidiVisual/>
        <w:tblW w:w="892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3744"/>
        <w:gridCol w:w="1440"/>
        <w:gridCol w:w="3744"/>
      </w:tblGrid>
      <w:tr>
        <w:trPr>
          <w:cantSplit/>
          <w:trHeight w:val="1440" w:hRule="atLeast"/>
        </w:trPr>
        <w:tc>
          <w:tcPr>
            <w:tcW w:w="3744" w:type="dxa"/>
            <w:shd w:val="clear" w:color="auto" w:fill="FFFFFF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2D4D"/>
                <w:sz w:val="32"/>
                <w:szCs w:val="32"/>
                <w:rtl/>
                <w:lang w:bidi="ar-EG"/>
              </w:rPr>
              <w:t xml:space="preserve">المزارع</w:t>
            </w:r>
          </w:p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2D4D"/>
                <w:sz w:val="32"/>
                <w:szCs w:val="32"/>
                <w:rtl/>
                <w:lang w:bidi="ar-EG"/>
              </w:rPr>
              <w:t xml:space="preserve">١٠ كجم من القمح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32"/>
                <w:szCs w:val="132"/>
                <w:rtl/>
                <w:lang w:bidi="ar-EG"/>
              </w:rPr>
              <w:t xml:space="preserve">◄</w:t>
            </w:r>
          </w:p>
        </w:tc>
        <w:tc>
          <w:tcPr>
            <w:tcW w:w="3744" w:type="dxa"/>
            <w:shd w:val="clear" w:color="auto" w:fill="FFFFFF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2D4D"/>
                <w:sz w:val="32"/>
                <w:szCs w:val="32"/>
                <w:rtl/>
                <w:lang w:bidi="ar-EG"/>
              </w:rPr>
              <w:t xml:space="preserve">الصياد</w:t>
            </w:r>
          </w:p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2D4D"/>
                <w:sz w:val="32"/>
                <w:szCs w:val="32"/>
                <w:rtl/>
                <w:lang w:bidi="ar-EG"/>
              </w:rPr>
              <w:t xml:space="preserve">٥ كجم من السمك</w:t>
            </w:r>
          </w:p>
        </w:tc>
      </w:tr>
    </w:tbl>
    <w:p>
      <w:pPr>
        <w:bidi/>
        <w:spacing w:before="320" w:after="240" w:line="240" w:lineRule="auto"/>
        <w:jc w:val="center"/>
      </w:pPr>
      <w:r>
        <w:rPr>
          <w:rFonts w:ascii="Arial" w:hAnsi="Arial" w:cs="Arial"/>
          <w:b/>
          <w:bCs/>
          <w:color w:val="FFFF00"/>
          <w:sz w:val="36"/>
          <w:szCs w:val="36"/>
          <w:rtl/>
          <w:lang w:bidi="ar-EG"/>
        </w:rPr>
        <w:t xml:space="preserve">المشكلة الرئيسة: التوافق المزدوج للرغبات</w:t>
      </w:r>
    </w:p>
    <w:tbl>
      <w:tblPr>
        <w:bidiVisual/>
        <w:tblW w:w="1324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3600"/>
        <w:gridCol w:w="216"/>
        <w:gridCol w:w="4176"/>
        <w:gridCol w:w="216"/>
        <w:gridCol w:w="5040"/>
      </w:tblGrid>
      <w:tr>
        <w:trPr>
          <w:cantSplit/>
          <w:trHeight w:val="2520" w:hRule="atLeast"/>
        </w:trPr>
        <w:tc>
          <w:tcPr>
            <w:tcW w:w="3600" w:type="dxa"/>
            <w:shd w:val="clear" w:color="auto" w:fill="FFFFFF"/>
            <w:vAlign w:val="top"/>
          </w:tcPr>
          <w:p>
            <w:pPr>
              <w:bidi/>
              <w:spacing w:before="0" w:after="12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6"/>
                <w:szCs w:val="36"/>
                <w:rtl/>
                <w:lang w:bidi="ar-EG"/>
              </w:rPr>
              <w:t xml:space="preserve">أحمد</w:t>
            </w:r>
          </w:p>
          <w:p>
            <w:pPr>
              <w:bidi/>
              <w:spacing w:before="0" w:after="12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E00000"/>
                <w:sz w:val="32"/>
                <w:szCs w:val="32"/>
                <w:rtl/>
                <w:lang w:bidi="ar-EG"/>
              </w:rPr>
              <w:t xml:space="preserve">يملك: قمحًا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3FA0"/>
                <w:sz w:val="32"/>
                <w:szCs w:val="32"/>
                <w:rtl/>
                <w:lang w:bidi="ar-EG"/>
              </w:rPr>
              <w:t xml:space="preserve">يريد: أحذية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4176" w:type="dxa"/>
            <w:shd w:val="clear" w:color="auto" w:fill="FFFFFF"/>
            <w:vAlign w:val="top"/>
          </w:tcPr>
          <w:p>
            <w:pPr>
              <w:bidi/>
              <w:spacing w:before="0" w:after="12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4"/>
                <w:szCs w:val="34"/>
                <w:rtl/>
                <w:lang w:bidi="ar-EG"/>
              </w:rPr>
              <w:t xml:space="preserve">بائع الأحذية</w:t>
            </w:r>
          </w:p>
          <w:p>
            <w:pPr>
              <w:bidi/>
              <w:spacing w:before="0" w:after="12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E00000"/>
                <w:sz w:val="32"/>
                <w:szCs w:val="32"/>
                <w:rtl/>
                <w:lang w:bidi="ar-EG"/>
              </w:rPr>
              <w:t xml:space="preserve">يملك: أحذية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3FA0"/>
                <w:sz w:val="30"/>
                <w:szCs w:val="30"/>
                <w:rtl/>
                <w:lang w:bidi="ar-EG"/>
              </w:rPr>
              <w:t xml:space="preserve">يجب أن يريد أيضًا: قمحًا</w:t>
            </w:r>
          </w:p>
        </w:tc>
        <w:tc>
          <w:tcPr>
            <w:tcW w:w="21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5040" w:type="dxa"/>
            <w:shd w:val="clear" w:color="auto" w:fill="FFFFFF"/>
            <w:vAlign w:val="top"/>
          </w:tcPr>
          <w:p>
            <w:pPr>
              <w:bidi/>
              <w:spacing w:before="0" w:after="1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1F2D4D"/>
                <w:sz w:val="34"/>
                <w:szCs w:val="34"/>
                <w:rtl/>
                <w:lang w:bidi="ar-EG"/>
              </w:rPr>
              <w:t xml:space="preserve">المشكلة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E00000"/>
                <w:sz w:val="32"/>
                <w:szCs w:val="32"/>
                <w:rtl/>
                <w:lang w:bidi="ar-EG"/>
              </w:rPr>
              <w:t xml:space="preserve">إذا لم يرغب البائع في القمح، فلن تتم المبادلة بسهولة.</w:t>
            </w:r>
          </w:p>
        </w:tc>
      </w:tr>
    </w:tbl>
    <w:p>
      <w:pPr>
        <w:bidi/>
        <w:spacing w:before="600" w:after="40" w:line="240" w:lineRule="auto"/>
        <w:jc w:val="center"/>
      </w:pPr>
      <w:r>
        <w:rPr>
          <w:rFonts w:ascii="Arial" w:hAnsi="Arial" w:cs="Arial"/>
          <w:b/>
          <w:bCs/>
          <w:color w:val="FFFFFF"/>
          <w:sz w:val="56"/>
          <w:szCs w:val="56"/>
          <w:rtl/>
          <w:lang w:bidi="ar-EG"/>
        </w:rPr>
        <w:t xml:space="preserve">تُزيل النقود هذا القيد</w:t>
      </w:r>
    </w:p>
    <w:p>
      <w:pPr>
        <w:sectPr>
          <w:headerReference w:type="default" r:id="rId23"/>
          <w:footerReference w:type="default" r:id="rId24"/>
          <w:pgSz w:w="14400" w:h="10800" w:orient="landscape"/>
          <w:pgMar w:top="648" w:right="576" w:bottom="576" w:left="576" w:header="0" w:footer="216" w:gutter="0"/>
          <w:cols w:space="720"/>
          <w:bidi/>
          <w:docGrid w:linePitch="360"/>
        </w:sectPr>
      </w:pPr>
    </w:p>
    <w:p>
      <w:pPr>
        <w:bidi/>
        <w:spacing w:before="120" w:after="240" w:line="240" w:lineRule="auto"/>
        <w:jc w:val="left"/>
      </w:pPr>
      <w:r>
        <w:rPr>
          <w:rFonts w:ascii="Arial" w:hAnsi="Arial" w:cs="Arial"/>
          <w:b/>
          <w:bCs/>
          <w:color w:val="FFFFFF"/>
          <w:sz w:val="46"/>
          <w:szCs w:val="46"/>
          <w:rtl/>
          <w:lang w:bidi="ar-EG"/>
        </w:rPr>
        <w:t xml:space="preserve">كيف تحلّ النقود المشكلة؟</w:t>
      </w:r>
    </w:p>
    <w:tbl>
      <w:tblPr>
        <w:bidiVisual/>
        <w:tblW w:w="1267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3456"/>
        <w:gridCol w:w="432"/>
        <w:gridCol w:w="4896"/>
        <w:gridCol w:w="432"/>
        <w:gridCol w:w="3456"/>
      </w:tblGrid>
      <w:tr>
        <w:trPr>
          <w:cantSplit/>
          <w:trHeight w:val="1080" w:hRule="atLeast"/>
        </w:trPr>
        <w:tc>
          <w:tcPr>
            <w:tcW w:w="3456" w:type="dxa"/>
            <w:shd w:val="clear" w:color="auto" w:fill="FFFFFF"/>
            <w:vAlign w:val="center"/>
          </w:tcPr>
          <w:p>
            <w:pPr>
              <w:bidi/>
              <w:spacing w:before="0" w:after="4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١. البيع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262626"/>
                <w:sz w:val="31"/>
                <w:szCs w:val="31"/>
                <w:rtl/>
                <w:lang w:bidi="ar-EG"/>
              </w:rPr>
              <w:t xml:space="preserve">القمح ← النقود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4896" w:type="dxa"/>
            <w:shd w:val="clear" w:color="auto" w:fill="FFFFFF"/>
            <w:vAlign w:val="center"/>
          </w:tcPr>
          <w:p>
            <w:pPr>
              <w:bidi/>
              <w:spacing w:before="0" w:after="4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٢. الاحتفاظ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262626"/>
                <w:sz w:val="31"/>
                <w:szCs w:val="31"/>
                <w:rtl/>
                <w:lang w:bidi="ar-EG"/>
              </w:rPr>
              <w:t xml:space="preserve">النقود ← القوة الشرائية</w:t>
            </w:r>
          </w:p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3456" w:type="dxa"/>
            <w:shd w:val="clear" w:color="auto" w:fill="FFFFFF"/>
            <w:vAlign w:val="center"/>
          </w:tcPr>
          <w:p>
            <w:pPr>
              <w:bidi/>
              <w:spacing w:before="0" w:after="40" w:line="240" w:lineRule="auto"/>
              <w:jc w:val="left"/>
            </w:pPr>
            <w:r>
              <w:rPr>
                <w:rFonts w:ascii="Arial" w:hAnsi="Arial" w:cs="Arial"/>
                <w:color w:val="262626"/>
                <w:sz w:val="28"/>
                <w:szCs w:val="28"/>
                <w:rtl/>
                <w:lang w:bidi="ar-EG"/>
              </w:rPr>
              <w:t xml:space="preserve">٣. الشراء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262626"/>
                <w:sz w:val="31"/>
                <w:szCs w:val="31"/>
                <w:rtl/>
                <w:lang w:bidi="ar-EG"/>
              </w:rPr>
              <w:t xml:space="preserve">النقود ← الأحذية</w:t>
            </w:r>
          </w:p>
        </w:tc>
      </w:tr>
    </w:tbl>
    <w:p>
      <w:pPr>
        <w:bidi/>
        <w:spacing w:before="400" w:after="160" w:line="240" w:lineRule="auto"/>
        <w:jc w:val="center"/>
      </w:pPr>
      <w:r>
        <w:rPr>
          <w:rFonts w:ascii="Arial" w:hAnsi="Arial" w:cs="Arial"/>
          <w:b/>
          <w:bCs/>
          <w:color w:val="FFFF00"/>
          <w:sz w:val="44"/>
          <w:szCs w:val="44"/>
          <w:rtl/>
          <w:lang w:bidi="ar-EG"/>
        </w:rPr>
        <w:t xml:space="preserve">تفصل النقود بين عملية البيع وعملية الشراء</w:t>
      </w:r>
    </w:p>
    <w:p>
      <w:pPr>
        <w:bidi/>
        <w:spacing w:before="120" w:after="280" w:line="240" w:lineRule="auto"/>
        <w:jc w:val="center"/>
      </w:pPr>
      <w:r>
        <w:rPr>
          <w:rFonts w:ascii="Arial" w:hAnsi="Arial" w:cs="Arial"/>
          <w:b/>
          <w:bCs/>
          <w:color w:val="F0A500"/>
          <w:sz w:val="42"/>
          <w:szCs w:val="42"/>
          <w:rtl/>
          <w:lang w:bidi="ar-EG"/>
        </w:rPr>
        <w:t xml:space="preserve">لماذا نحتاج إلى النقود؟</w:t>
      </w:r>
    </w:p>
    <w:tbl>
      <w:tblPr>
        <w:bidiVisual/>
        <w:tblW w:w="1326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000"/>
      </w:tblPr>
      <w:tblGrid>
        <w:gridCol w:w="3096"/>
        <w:gridCol w:w="172"/>
        <w:gridCol w:w="3096"/>
        <w:gridCol w:w="172"/>
        <w:gridCol w:w="3096"/>
        <w:gridCol w:w="172"/>
        <w:gridCol w:w="3456"/>
      </w:tblGrid>
      <w:tr>
        <w:trPr>
          <w:cantSplit/>
          <w:trHeight w:val="3311" w:hRule="atLeast"/>
        </w:trPr>
        <w:tc>
          <w:tcPr>
            <w:tcW w:w="3096" w:type="dxa"/>
            <w:shd w:val="clear" w:color="auto" w:fill="FFFFFF"/>
            <w:vAlign w:val="top"/>
          </w:tcPr>
          <w:p>
            <w:pPr>
              <w:bidi/>
              <w:spacing w:before="0" w:after="16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7A72"/>
                <w:sz w:val="30"/>
                <w:szCs w:val="30"/>
                <w:rtl/>
                <w:lang w:bidi="ar-EG"/>
              </w:rPr>
              <w:t xml:space="preserve">٠١</w:t>
            </w:r>
          </w:p>
          <w:p>
            <w:pPr>
              <w:bidi/>
              <w:spacing w:before="0" w:after="24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4"/>
                <w:szCs w:val="34"/>
                <w:rtl/>
                <w:lang w:bidi="ar-EG"/>
              </w:rPr>
              <w:t xml:space="preserve">وسيط للتبادل</w:t>
            </w:r>
          </w:p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262626"/>
                <w:sz w:val="29"/>
                <w:szCs w:val="29"/>
                <w:rtl/>
                <w:lang w:bidi="ar-EG"/>
              </w:rPr>
              <w:t xml:space="preserve">البيع والشراء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595959"/>
                <w:sz w:val="29"/>
                <w:szCs w:val="29"/>
                <w:rtl/>
                <w:lang w:bidi="ar-EG"/>
              </w:rPr>
              <w:t xml:space="preserve">سداد ثمن الطعام</w:t>
            </w:r>
          </w:p>
        </w:tc>
        <w:tc>
          <w:tcPr>
            <w:tcW w:w="17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3096" w:type="dxa"/>
            <w:shd w:val="clear" w:color="auto" w:fill="FFFFFF"/>
            <w:vAlign w:val="top"/>
          </w:tcPr>
          <w:p>
            <w:pPr>
              <w:bidi/>
              <w:spacing w:before="0" w:after="16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7A72"/>
                <w:sz w:val="30"/>
                <w:szCs w:val="30"/>
                <w:rtl/>
                <w:lang w:bidi="ar-EG"/>
              </w:rPr>
              <w:t xml:space="preserve">٠٢</w:t>
            </w:r>
          </w:p>
          <w:p>
            <w:pPr>
              <w:bidi/>
              <w:spacing w:before="0" w:after="24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4"/>
                <w:szCs w:val="34"/>
                <w:rtl/>
                <w:lang w:bidi="ar-EG"/>
              </w:rPr>
              <w:t xml:space="preserve">وحدة للحساب</w:t>
            </w:r>
          </w:p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262626"/>
                <w:sz w:val="29"/>
                <w:szCs w:val="29"/>
                <w:rtl/>
                <w:lang w:bidi="ar-EG"/>
              </w:rPr>
              <w:t xml:space="preserve">قياس القيمة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595959"/>
                <w:sz w:val="29"/>
                <w:szCs w:val="29"/>
                <w:rtl/>
                <w:lang w:bidi="ar-EG"/>
              </w:rPr>
              <w:t xml:space="preserve">الكتاب = ٣٠٠ ج.م</w:t>
            </w:r>
          </w:p>
        </w:tc>
        <w:tc>
          <w:tcPr>
            <w:tcW w:w="17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3096" w:type="dxa"/>
            <w:shd w:val="clear" w:color="auto" w:fill="FFFFFF"/>
            <w:vAlign w:val="top"/>
          </w:tcPr>
          <w:p>
            <w:pPr>
              <w:bidi/>
              <w:spacing w:before="0" w:after="16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7A72"/>
                <w:sz w:val="30"/>
                <w:szCs w:val="30"/>
                <w:rtl/>
                <w:lang w:bidi="ar-EG"/>
              </w:rPr>
              <w:t xml:space="preserve">٠٣</w:t>
            </w:r>
          </w:p>
          <w:p>
            <w:pPr>
              <w:bidi/>
              <w:spacing w:before="0" w:after="24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4"/>
                <w:szCs w:val="34"/>
                <w:rtl/>
                <w:lang w:bidi="ar-EG"/>
              </w:rPr>
              <w:t xml:space="preserve">مخزن للقيمة</w:t>
            </w:r>
          </w:p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262626"/>
                <w:sz w:val="29"/>
                <w:szCs w:val="29"/>
                <w:rtl/>
                <w:lang w:bidi="ar-EG"/>
              </w:rPr>
              <w:t xml:space="preserve">حفظ القوة الشرائية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595959"/>
                <w:sz w:val="29"/>
                <w:szCs w:val="29"/>
                <w:rtl/>
                <w:lang w:bidi="ar-EG"/>
              </w:rPr>
              <w:t xml:space="preserve">ادخار ٥٬٠٠٠ ج.م</w:t>
            </w:r>
          </w:p>
        </w:tc>
        <w:tc>
          <w:tcPr>
            <w:tcW w:w="17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w="3456" w:type="dxa"/>
            <w:shd w:val="clear" w:color="auto" w:fill="FFFFFF"/>
            <w:vAlign w:val="top"/>
          </w:tcPr>
          <w:p>
            <w:pPr>
              <w:bidi/>
              <w:spacing w:before="0" w:after="16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7A72"/>
                <w:sz w:val="30"/>
                <w:szCs w:val="30"/>
                <w:rtl/>
                <w:lang w:bidi="ar-EG"/>
              </w:rPr>
              <w:t xml:space="preserve">٠٤</w:t>
            </w:r>
          </w:p>
          <w:p>
            <w:pPr>
              <w:bidi/>
              <w:spacing w:before="0" w:after="24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1F2D4D"/>
                <w:sz w:val="34"/>
                <w:szCs w:val="34"/>
                <w:rtl/>
                <w:lang w:bidi="ar-EG"/>
              </w:rPr>
              <w:t xml:space="preserve">المدفوعات الآجلة</w:t>
            </w:r>
          </w:p>
          <w:p>
            <w:pPr>
              <w:bidi/>
              <w:spacing w:before="0" w:after="80" w:line="240" w:lineRule="auto"/>
              <w:jc w:val="left"/>
            </w:pPr>
            <w:r>
              <w:rPr>
                <w:rFonts w:ascii="Arial" w:hAnsi="Arial" w:cs="Arial"/>
                <w:b/>
                <w:bCs/>
                <w:color w:val="262626"/>
                <w:sz w:val="29"/>
                <w:szCs w:val="29"/>
                <w:rtl/>
                <w:lang w:bidi="ar-EG"/>
              </w:rPr>
              <w:t xml:space="preserve">قياس المدفوعات المستقبلية</w:t>
            </w:r>
          </w:p>
          <w:p>
            <w:pPr>
              <w:bidi/>
              <w:spacing w:before="0" w:after="0" w:line="240" w:lineRule="auto"/>
              <w:jc w:val="left"/>
            </w:pPr>
            <w:r>
              <w:rPr>
                <w:rFonts w:ascii="Arial" w:hAnsi="Arial" w:cs="Arial"/>
                <w:color w:val="595959"/>
                <w:sz w:val="29"/>
                <w:szCs w:val="29"/>
                <w:rtl/>
                <w:lang w:bidi="ar-EG"/>
              </w:rPr>
              <w:t xml:space="preserve">سداد قرض</w:t>
            </w:r>
          </w:p>
        </w:tc>
      </w:tr>
    </w:tbl>
    <w:sectPr w:rsidR="00FC693F" w:rsidRPr="0006063C" w:rsidSect="00034616">
      <w:headerReference w:type="default" r:id="rId25"/>
      <w:footerReference w:type="default" r:id="rId26"/>
      <w:pgSz w:w="14400" w:h="10800" w:orient="landscape"/>
      <w:pgMar w:top="648" w:right="576" w:bottom="576" w:left="576" w:header="0" w:footer="216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 w:cs="Arial"/>
        <w:color w:val="8C8C8C"/>
        <w:sz w:val="14"/>
        <w:szCs w:val="14"/>
        <w:rtl/>
        <w:lang w:bidi="ar-EG"/>
      </w:rPr>
      <w:t xml:space="preserve">النقود والبنوك • ١٨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 w:cs="Arial"/>
        <w:color w:val="8C8C8C"/>
        <w:sz w:val="14"/>
        <w:szCs w:val="14"/>
        <w:rtl/>
        <w:lang w:bidi="ar-EG"/>
      </w:rPr>
      <w:t xml:space="preserve">النقود والبنوك • ٢٢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 w:cs="Arial"/>
        <w:color w:val="8C8C8C"/>
        <w:sz w:val="14"/>
        <w:szCs w:val="14"/>
        <w:rtl/>
        <w:lang w:bidi="ar-EG"/>
      </w:rPr>
      <w:t xml:space="preserve">النقود والبنوك • ١٥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 w:cs="Arial"/>
        <w:color w:val="8C8C8C"/>
        <w:sz w:val="14"/>
        <w:szCs w:val="14"/>
        <w:rtl/>
        <w:lang w:bidi="ar-EG"/>
      </w:rPr>
      <w:t xml:space="preserve">النقود والبنوك • ١٦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top w:val="single" w:sz="40" w:space="0" w:color="1F7A72"/>
      </w:pBdr>
      <w:spacing w:before="0" w:after="0"/>
      <w:ind w:left="-576" w:right="-576"/>
    </w:pPr>
    <w:r>
      <w:rPr>
        <w:sz w:val="2"/>
      </w:rP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top w:val="single" w:sz="40" w:space="0" w:color="1F7A72"/>
      </w:pBdr>
      <w:spacing w:before="0" w:after="0"/>
      <w:ind w:left="-576" w:right="-576"/>
    </w:pPr>
    <w:r>
      <w:rPr>
        <w:sz w:val="2"/>
      </w:rP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0" b="0"/>
          <wp:wrapNone/>
          <wp:docPr id="2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top w:val="single" w:sz="40" w:space="0" w:color="1F7A72"/>
      </w:pBdr>
      <w:spacing w:before="0" w:after="0"/>
      <w:ind w:left="-576" w:right="-576"/>
    </w:pPr>
    <w:r>
      <w:rPr>
        <w:sz w:val="2"/>
      </w:rP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0" b="0"/>
          <wp:wrapNone/>
          <wp:docPr id="3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576" w:right="-576"/>
    </w:pPr>
    <w:r>
      <w:rPr>
        <w:sz w:val="2"/>
      </w:rP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0" b="0"/>
          <wp:wrapNone/>
          <wp:docPr id="4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576" w:right="-576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576" w:right="-576"/>
    </w:pPr>
    <w:r>
      <w:rPr>
        <w:sz w:val="2"/>
      </w:rP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0" b="0"/>
          <wp:wrapNone/>
          <wp:docPr id="5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top w:val="single" w:sz="40" w:space="0" w:color="1F7A72"/>
      </w:pBdr>
      <w:spacing w:before="0" w:after="0"/>
      <w:ind w:left="-576" w:right="-576"/>
    </w:pPr>
    <w:r>
      <w:rPr>
        <w:sz w:val="2"/>
      </w:rP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0" b="0"/>
          <wp:wrapNone/>
          <wp:docPr id="6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576" w:right="-576"/>
    </w:pPr>
    <w:r>
      <w:rPr>
        <w:sz w:val="2"/>
      </w:rP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0" b="0"/>
          <wp:wrapNone/>
          <wp:docPr id="7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576" w:right="-576"/>
    </w:pPr>
    <w:r>
      <w:rPr>
        <w:sz w:val="2"/>
      </w:rP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0" b="0"/>
          <wp:wrapNone/>
          <wp:docPr id="8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