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6.1.4.3 Table of legend vs. # of samples in each legend vs. percentage of </w:t>
      </w:r>
    </w:p>
    <w:p>
      <w:pPr>
        <w:ind w:start="1750"/>
      </w:pPr>
      <w:r>
        <w:rPr>
          <w:sz w:val="20"/>
          <w:szCs w:val="20"/>
        </w:rPr>
        <w:t xml:space="preserve">samples of each legend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Legend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Number of samples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Percentage of samples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(Min, -120)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(-120, -110)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(-110, -100)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(-100, -95)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(-95, -90)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(-90, -80)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(-80, -70)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(-70, -60)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(-60, Max)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9,2</w:t>
            </w:r>
          </w:p>
        </w:tc>
      </w:tr>
    </w:tbl>
    <w:p>
      <w:pPr>
        <w:pageBreakBefore/>
      </w:pP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6.1.5.3 Table of legend vs. # of samples in each legend vs. percentage of </w:t>
      </w:r>
    </w:p>
    <w:p>
      <w:pPr>
        <w:ind w:start="1750"/>
      </w:pPr>
      <w:r>
        <w:rPr>
          <w:sz w:val="20"/>
          <w:szCs w:val="20"/>
        </w:rPr>
        <w:t xml:space="preserve">samples of each legend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</w:tblPr>
      <w:tblGrid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Legend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Number of samples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Percentage of samples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(Min, -5)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(-5, 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(0, 5)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(5, 10)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(10, 15)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(15, 20)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(20, 25)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(25, Max)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</w:tr>
    </w:tbl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6.1.6 RFP Commitment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</w:tblPr>
      <w:tblGrid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% of samples with 2 servers and 4dB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14.72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% of samples with 4 servers and 4dB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0.96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% of samples with 10 servers and 10dB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</w:tr>
    </w:tbl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6.1.7 Intra Frequency Handover Success Rate Analysis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6.1.7.1 Handover Plot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6.1.7.2 Handover Failures Plot</w:t>
      </w:r>
    </w:p>
    <w:p>
      <w:r>
        <w:t xml:space="preserve"/>
      </w:r>
    </w:p>
    <w:p>
      <w:pPr>
        <w:ind w:start="1300"/>
      </w:pPr>
      <w:r>
        <w:rPr>
          <w:sz w:val="20"/>
          <w:szCs w:val="20"/>
        </w:rPr>
        <w:t xml:space="preserve">No Handover Failures Plot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xu8ok2791bgfwsg8abj1v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hvb278gmm5ohzi8tbn2cs.png"/><Relationship Id="rId1" Type="http://schemas.openxmlformats.org/officeDocument/2006/relationships/image" Target="media/uatopwr12mbo551r79es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2019-09-22T16:53:19Z</dcterms:created>
  <dcterms:modified xsi:type="dcterms:W3CDTF">2019-09-22T16:53:19Z</dcterms:modified>
</cp:coreProperties>
</file>