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
      <w:pPr>
        <w:pageBreakBefore/>
      </w:pP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4535"/>
        <w:tblpPr w:horzAnchor="page" w:vertAnchor="page" w:tblpXSpec="center" w:tblpYSpec="center"/>
      </w:tblPr>
      <w:tblGrid>
        <w:gridCol w:w="100"/>
        <w:gridCol w:w="100"/>
      </w:tblGrid>
      <w:tr>
        <w:tc>
          <w:tcPr>
            <w:vAlign w:val="center"/>
            <w:shd w:fill="42c5f4" w:val="pct95" w:color="4f81bd"/>
          </w:tcPr>
          <w:p>
            <w:pPr>
              <w:jc w:val="center"/>
            </w:pPr>
            <w:r>
              <w:t xml:space="preserve">S/N</w:t>
            </w:r>
          </w:p>
        </w:tc>
        <w:tc>
          <w:tcPr>
            <w:vAlign w:val="center"/>
            <w:shd w:fill="42c5f4" w:val="pct95" w:color="4f81bd"/>
          </w:tcPr>
          <w:p>
            <w:pPr>
              <w:jc w:val="center"/>
            </w:pPr>
            <w:r>
              <w:t xml:space="preserve">OSS KPI ( Cluster Level)</w:t>
            </w:r>
          </w:p>
          <w:p>
            <w:r>
              <w:t xml:space="preserve">0,1</w:t>
            </w:r>
          </w:p>
        </w:tc>
      </w:tr>
      <w:tr>
        <w:tc>
          <w:tcPr>
            <w:tcW w:w="20%" w:type="auto"/>
          </w:tcPr>
          <w:p>
            <w:pPr>
              <w:jc w:val="center"/>
            </w:pPr>
            <w:r>
              <w:t xml:space="preserve"/>
            </w:r>
          </w:p>
        </w:tc>
        <w:tc>
          <w:tcPr>
            <w:tcW w:w="80%" w:type="auto"/>
          </w:tcPr>
          <w:p>
            <w:pPr>
              <w:jc w:val="center"/>
            </w:pPr>
            <w:r>
              <w:t xml:space="preserve">Serving RSRQ</w:t>
            </w:r>
          </w:p>
        </w:tc>
      </w:tr>
      <w:tr>
        <w:tc>
          <w:tcPr>
            <w:tcW w:w="20%" w:type="auto"/>
          </w:tcPr>
          <w:p>
            <w:pPr>
              <w:jc w:val="center"/>
            </w:pPr>
            <w:r>
              <w:t xml:space="preserve"/>
            </w:r>
          </w:p>
        </w:tc>
        <w:tc>
          <w:tcPr>
            <w:tcW w:w="80%" w:type="auto"/>
          </w:tcPr>
          <w:p>
            <w:pPr>
              <w:jc w:val="center"/>
            </w:pPr>
            <w:r>
              <w:t xml:space="preserve">Serving RS SINR</w:t>
            </w:r>
          </w:p>
        </w:tc>
      </w:tr>
      <w:tr>
        <w:tc>
          <w:tcPr>
            <w:tcW w:w="20%" w:type="auto"/>
          </w:tcPr>
          <w:p>
            <w:pPr>
              <w:jc w:val="center"/>
            </w:pPr>
            <w:r>
              <w:t xml:space="preserve"/>
            </w:r>
          </w:p>
        </w:tc>
        <w:tc>
          <w:tcPr>
            <w:tcW w:w="80%" w:type="auto"/>
          </w:tcPr>
          <w:p>
            <w:pPr>
              <w:jc w:val="center"/>
            </w:pPr>
            <w:r>
              <w:t xml:space="preserve">Serving Channel RSSI</w:t>
            </w:r>
          </w:p>
        </w:tc>
      </w:tr>
      <w:tr>
        <w:tc>
          <w:tcPr>
            <w:tcW w:w="20%" w:type="auto"/>
          </w:tcPr>
          <w:p>
            <w:pPr>
              <w:jc w:val="center"/>
            </w:pPr>
            <w:r>
              <w:t xml:space="preserve"/>
            </w:r>
          </w:p>
        </w:tc>
        <w:tc>
          <w:tcPr>
            <w:tcW w:w="80%" w:type="auto"/>
          </w:tcPr>
          <w:p>
            <w:pPr>
              <w:jc w:val="center"/>
            </w:pPr>
            <w:r>
              <w:t xml:space="preserve">CQI</w:t>
            </w:r>
          </w:p>
        </w:tc>
      </w:tr>
      <w:tr>
        <w:tc>
          <w:tcPr>
            <w:tcW w:w="20%" w:type="auto"/>
          </w:tcPr>
          <w:p>
            <w:pPr>
              <w:jc w:val="center"/>
            </w:pPr>
            <w:r>
              <w:t xml:space="preserve"/>
            </w:r>
          </w:p>
        </w:tc>
        <w:tc>
          <w:tcPr>
            <w:tcW w:w="80%" w:type="auto"/>
          </w:tcPr>
          <w:p>
            <w:pPr>
              <w:jc w:val="center"/>
            </w:pPr>
            <w:r>
              <w:t xml:space="preserve">Attach Success Rate</w:t>
            </w:r>
          </w:p>
        </w:tc>
      </w:tr>
      <w:tr>
        <w:tc>
          <w:tcPr>
            <w:tcW w:w="20%" w:type="auto"/>
          </w:tcPr>
          <w:p>
            <w:pPr>
              <w:jc w:val="center"/>
            </w:pPr>
            <w:r>
              <w:t xml:space="preserve"/>
            </w:r>
          </w:p>
        </w:tc>
        <w:tc>
          <w:tcPr>
            <w:tcW w:w="80%" w:type="auto"/>
          </w:tcPr>
          <w:p>
            <w:pPr>
              <w:jc w:val="center"/>
            </w:pPr>
            <w:r>
              <w:t xml:space="preserve">Paging Success Rate</w:t>
            </w:r>
          </w:p>
        </w:tc>
      </w:tr>
      <w:tr>
        <w:tc>
          <w:tcPr>
            <w:tcW w:w="20%" w:type="auto"/>
          </w:tcPr>
          <w:p>
            <w:pPr>
              <w:jc w:val="center"/>
            </w:pPr>
            <w:r>
              <w:t xml:space="preserve"/>
            </w:r>
          </w:p>
        </w:tc>
        <w:tc>
          <w:tcPr>
            <w:tcW w:w="80%" w:type="auto"/>
          </w:tcPr>
          <w:p>
            <w:pPr>
              <w:jc w:val="center"/>
            </w:pPr>
            <w:r>
              <w:t xml:space="preserve">RRC Connection Setup Success Rate</w:t>
            </w:r>
          </w:p>
        </w:tc>
      </w:tr>
      <w:tr>
        <w:tc>
          <w:tcPr>
            <w:tcW w:w="20%" w:type="auto"/>
          </w:tcPr>
          <w:p>
            <w:pPr>
              <w:jc w:val="center"/>
            </w:pPr>
            <w:r>
              <w:t xml:space="preserve"/>
            </w:r>
          </w:p>
        </w:tc>
        <w:tc>
          <w:tcPr>
            <w:tcW w:w="80%" w:type="auto"/>
          </w:tcPr>
          <w:p>
            <w:pPr>
              <w:jc w:val="center"/>
            </w:pPr>
            <w:r>
              <w:t xml:space="preserve">ERAB Setup Success Rate</w:t>
            </w:r>
          </w:p>
        </w:tc>
      </w:tr>
      <w:tr>
        <w:tc>
          <w:tcPr>
            <w:tcW w:w="20%" w:type="auto"/>
          </w:tcPr>
          <w:p>
            <w:pPr>
              <w:jc w:val="center"/>
            </w:pPr>
            <w:r>
              <w:t xml:space="preserve"/>
            </w:r>
          </w:p>
        </w:tc>
        <w:tc>
          <w:tcPr>
            <w:tcW w:w="80%" w:type="auto"/>
          </w:tcPr>
          <w:p>
            <w:pPr>
              <w:jc w:val="center"/>
            </w:pPr>
            <w:r>
              <w:t xml:space="preserve">CSFB Setup Success Rate</w:t>
            </w:r>
          </w:p>
        </w:tc>
      </w:tr>
      <w:tr>
        <w:tc>
          <w:tcPr>
            <w:tcW w:w="20%" w:type="auto"/>
          </w:tcPr>
          <w:p>
            <w:pPr>
              <w:jc w:val="center"/>
            </w:pPr>
            <w:r>
              <w:t xml:space="preserve"/>
            </w:r>
          </w:p>
        </w:tc>
        <w:tc>
          <w:tcPr>
            <w:tcW w:w="80%" w:type="auto"/>
          </w:tcPr>
          <w:p>
            <w:pPr>
              <w:jc w:val="center"/>
            </w:pPr>
            <w:r>
              <w:t xml:space="preserve">RRC Connection Drop Rate</w:t>
            </w:r>
          </w:p>
        </w:tc>
      </w:tr>
      <w:tr>
        <w:tc>
          <w:tcPr>
            <w:tcW w:w="20%" w:type="auto"/>
          </w:tcPr>
          <w:p>
            <w:pPr>
              <w:jc w:val="center"/>
            </w:pPr>
            <w:r>
              <w:t xml:space="preserve"/>
            </w:r>
          </w:p>
        </w:tc>
        <w:tc>
          <w:tcPr>
            <w:tcW w:w="80%" w:type="auto"/>
          </w:tcPr>
          <w:p>
            <w:pPr>
              <w:jc w:val="center"/>
            </w:pPr>
            <w:r>
              <w:t xml:space="preserve">Bearer Connection Drop Rate</w:t>
            </w:r>
          </w:p>
        </w:tc>
      </w:tr>
      <w:tr>
        <w:tc>
          <w:tcPr>
            <w:tcW w:w="20%" w:type="auto"/>
          </w:tcPr>
          <w:p>
            <w:pPr>
              <w:jc w:val="center"/>
            </w:pPr>
            <w:r>
              <w:t xml:space="preserve"/>
            </w:r>
          </w:p>
        </w:tc>
        <w:tc>
          <w:tcPr>
            <w:tcW w:w="80%" w:type="auto"/>
          </w:tcPr>
          <w:p>
            <w:pPr>
              <w:jc w:val="center"/>
            </w:pPr>
            <w:r>
              <w:t xml:space="preserve">LTE Intra-frequency HO Success Rate</w:t>
            </w:r>
          </w:p>
        </w:tc>
      </w:tr>
      <w:tr>
        <w:tc>
          <w:tcPr>
            <w:tcW w:w="20%" w:type="auto"/>
          </w:tcPr>
          <w:p>
            <w:pPr>
              <w:jc w:val="center"/>
            </w:pPr>
            <w:r>
              <w:t xml:space="preserve"/>
            </w:r>
          </w:p>
        </w:tc>
        <w:tc>
          <w:tcPr>
            <w:tcW w:w="80%" w:type="auto"/>
          </w:tcPr>
          <w:p>
            <w:pPr>
              <w:jc w:val="center"/>
            </w:pPr>
            <w:r>
              <w:t xml:space="preserve">LTE Inter-frequency HO Success Rate</w:t>
            </w:r>
          </w:p>
        </w:tc>
      </w:tr>
      <w:tr>
        <w:tc>
          <w:tcPr>
            <w:tcW w:w="20%" w:type="auto"/>
          </w:tcPr>
          <w:p>
            <w:pPr>
              <w:jc w:val="center"/>
            </w:pPr>
            <w:r>
              <w:t xml:space="preserve"/>
            </w:r>
          </w:p>
        </w:tc>
        <w:tc>
          <w:tcPr>
            <w:tcW w:w="80%" w:type="auto"/>
          </w:tcPr>
          <w:p>
            <w:pPr>
              <w:jc w:val="center"/>
            </w:pPr>
            <w:r>
              <w:t xml:space="preserve">CSFB Success Rate via Redirect</w:t>
            </w:r>
          </w:p>
        </w:tc>
      </w:tr>
      <w:tr>
        <w:tc>
          <w:tcPr>
            <w:tcW w:w="20%" w:type="auto"/>
          </w:tcPr>
          <w:p>
            <w:pPr>
              <w:jc w:val="center"/>
            </w:pPr>
            <w:r>
              <w:t xml:space="preserve"/>
            </w:r>
          </w:p>
        </w:tc>
        <w:tc>
          <w:tcPr>
            <w:tcW w:w="80%" w:type="auto"/>
          </w:tcPr>
          <w:p>
            <w:pPr>
              <w:jc w:val="center"/>
            </w:pPr>
            <w:r>
              <w:t xml:space="preserve">Average Downlink Application User Throughput @ 10 MHz</w:t>
            </w:r>
          </w:p>
        </w:tc>
      </w:tr>
      <w:tr>
        <w:tc>
          <w:tcPr>
            <w:tcW w:w="20%" w:type="auto"/>
          </w:tcPr>
          <w:p>
            <w:pPr>
              <w:jc w:val="center"/>
            </w:pPr>
            <w:r>
              <w:t xml:space="preserve"/>
            </w:r>
          </w:p>
        </w:tc>
        <w:tc>
          <w:tcPr>
            <w:tcW w:w="80%" w:type="auto"/>
          </w:tcPr>
          <w:p>
            <w:pPr>
              <w:jc w:val="center"/>
            </w:pPr>
            <w:r>
              <w:t xml:space="preserve">Average Uplink Application User Throughput @ 10 MHz</w:t>
            </w:r>
          </w:p>
        </w:tc>
      </w:tr>
      <w:tr>
        <w:tc>
          <w:tcPr>
            <w:tcW w:w="20%" w:type="auto"/>
          </w:tcPr>
          <w:p>
            <w:pPr>
              <w:jc w:val="center"/>
            </w:pPr>
            <w:r>
              <w:t xml:space="preserve"/>
            </w:r>
          </w:p>
        </w:tc>
        <w:tc>
          <w:tcPr>
            <w:tcW w:w="80%" w:type="auto"/>
          </w:tcPr>
          <w:p>
            <w:pPr>
              <w:jc w:val="center"/>
            </w:pPr>
            <w:r>
              <w:t xml:space="preserve">Average Downlink Application User Throughput @ 5 MHz</w:t>
            </w:r>
          </w:p>
        </w:tc>
      </w:tr>
      <w:tr>
        <w:tc>
          <w:tcPr>
            <w:tcW w:w="20%" w:type="auto"/>
          </w:tcPr>
          <w:p>
            <w:pPr>
              <w:jc w:val="center"/>
            </w:pPr>
            <w:r>
              <w:t xml:space="preserve"/>
            </w:r>
          </w:p>
        </w:tc>
        <w:tc>
          <w:tcPr>
            <w:tcW w:w="80%" w:type="auto"/>
          </w:tcPr>
          <w:p>
            <w:pPr>
              <w:jc w:val="center"/>
            </w:pPr>
            <w:r>
              <w:t xml:space="preserve">Average Uplink Application User Throughput @ 5 MHz</w:t>
            </w:r>
          </w:p>
        </w:tc>
      </w:tr>
      <w:tr>
        <w:tc>
          <w:tcPr>
            <w:tcW w:w="20%" w:type="auto"/>
          </w:tcPr>
          <w:p>
            <w:pPr>
              <w:jc w:val="center"/>
            </w:pPr>
            <w:r>
              <w:t xml:space="preserve"/>
            </w:r>
          </w:p>
        </w:tc>
        <w:tc>
          <w:tcPr>
            <w:tcW w:w="80%" w:type="auto"/>
          </w:tcPr>
          <w:p>
            <w:pPr>
              <w:jc w:val="center"/>
            </w:pPr>
          </w:p>
        </w:tc>
      </w:tr>
    </w:tbl>
    <w:p>
      <w:r>
        <w:rPr>
          <w:b w:val="true"/>
          <w:bCs w:val="true"/>
        </w:rPr>
        <w:t xml:space="preserve">1  Scope</w:t>
      </w:r>
    </w:p>
    <w:p>
      <w:r>
        <w:t xml:space="preserve"/>
      </w:r>
    </w:p>
    <w:p>
      <w:r>
        <w:t xml:space="preserve"/>
      </w:r>
    </w:p>
    <w:p>
      <w:r>
        <w:t xml:space="preserve">The purpose of this document is to present the Cluster Acceptance standard and Result of TE LTE project. </w:t>
      </w:r>
    </w:p>
    <w:p>
      <w:r>
        <w:t xml:space="preserve"/>
      </w:r>
    </w:p>
    <w:p>
      <w:r>
        <w:t xml:space="preserve"/>
      </w:r>
    </w:p>
    <w:p>
      <w:r>
        <w:rPr>
          <w:b w:val="true"/>
          <w:bCs w:val="true"/>
        </w:rPr>
        <w:t xml:space="preserve">2 Acceptance KPI</w:t>
      </w:r>
    </w:p>
    <w:p>
      <w:r>
        <w:t xml:space="preserve"/>
      </w:r>
    </w:p>
    <w:p>
      <w:r>
        <w:t xml:space="preserve"/>
      </w:r>
    </w:p>
    <w:p>
      <w:r>
        <w:t xml:space="preserve">Ninety percent (90%) of sites of the desired cluster should be on air before starting the cluster test. Only agreed special cases of some sites will be considered as standalone sites (SSV) and will be excluded from the cluster acceptance. </w:t>
      </w:r>
    </w:p>
    <w:p>
      <w:r>
        <w:t xml:space="preserve"/>
      </w:r>
    </w:p>
    <w:p>
      <w:r>
        <w:t xml:space="preserve"/>
      </w:r>
    </w:p>
    <w:p>
      <w:r>
        <w:rPr>
          <w:b w:val="true"/>
          <w:bCs w:val="true"/>
        </w:rPr>
        <w:t xml:space="preserve">2.1 Drive Test KPIs (Cluster Level)</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color="auto" w:space="1" w:val="single" w:sz="6"/>
      </w:pBdr>
    </w:pPr>
    <w:r>
      <w:t xml:space="preserve">2019-09-11                                  </w:t>
    </w:r>
    <w:r>
      <w:t xml:space="preserve">NOKIA Confidential                                 </w:t>
    </w:r>
    <w:r>
      <w:t xml:space="preserve">Page</w:t>
      <w:fldChar w:fldCharType="begin"/>
      <w:instrText xml:space="preserve">PAGE</w:instrText>
      <w:fldChar w:fldCharType="separate"/>
      <w:fldChar w:fldCharType="end"/>
    </w:r>
    <w:r>
      <w:t xml:space="preserve">Total</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drawing>
        <wp:anchor distT="0" distB="0" distL="0" distR="0" simplePos="0" allowOverlap="1" behindDoc="0" locked="0" layoutInCell="1" relativeHeight="476250">
          <wp:simplePos x="0" y="0"/>
          <wp:positionH relativeFrom="outsideMargin">
            <wp:align>right</wp:align>
          </wp:positionH>
          <wp:positionV relativeFrom="outsideMargin">
            <wp:align>top</wp:align>
          </wp:positionV>
          <wp:extent cx="476250" cy="476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476250" cy="476250"/>
                    <a:off x="0" y="0"/>
                  </a:xfrm>
                  <a:prstGeom prst="rect">
                    <a:avLst/>
                  </a:prstGeom>
                </pic:spPr>
              </pic:pic>
            </a:graphicData>
          </a:graphic>
        </wp:anchor>
      </w:drawing>
    </w:r>
    <w:r>
      <w:drawing>
        <wp:anchor distT="0" distB="0" distL="0" distR="0" simplePos="0" allowOverlap="1" behindDoc="0" locked="0" layoutInCell="1" relativeHeight="476250">
          <wp:simplePos x="0" y="0"/>
          <wp:positionH relativeFrom="outsideMargin">
            <wp:align>left</wp:align>
          </wp:positionH>
          <wp:positionV relativeFrom="outsideMargin">
            <wp:align>top</wp:align>
          </wp:positionV>
          <wp:extent cx="476250" cy="476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 cstate="none"/>
                  <a:srcRect/>
                  <a:stretch>
                    <a:fillRect/>
                  </a:stretch>
                </pic:blipFill>
                <pic:spPr bwMode="auto">
                  <a:xfrm>
                    <a:ext cx="476250" cy="476250"/>
                    <a:off x="0" y="0"/>
                  </a:xfrm>
                  <a:prstGeom prst="rect">
                    <a:avLst/>
                  </a:prstGeom>
                </pic:spPr>
              </pic:pic>
            </a:graphicData>
          </a:graphic>
        </wp:anchor>
      </w:drawing>
    </w:r>
  </w:p>
  <w:p>
    <w:r>
      <w:t xml:space="preserve"/>
    </w:r>
  </w:p>
  <w:p>
    <w:r>
      <w:t xml:space="preserve"/>
    </w:r>
  </w:p>
  <w:p>
    <w:pPr>
      <w:jc w:val="center"/>
      <w:pBdr>
        <w:bottom w:color="auto" w:space="1" w:val="single" w:sz="6"/>
      </w:pBdr>
    </w:pPr>
    <w:r>
      <w:t xml:space="preserve">LTE Cluster Acceptance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mn4qs0uad29ph3mhhrpfgn.png"/><Relationship Id="rId1" Type="http://schemas.openxmlformats.org/officeDocument/2006/relationships/image" Target="media/i78gtffa0popt5hgy2q1.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2019-09-24T12:16:13Z</dcterms:created>
  <dcterms:modified xsi:type="dcterms:W3CDTF">2019-09-24T12:16:13Z</dcterms:modified>
</cp:coreProperties>
</file>