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/>
    <w:p>
      <w:pPr>
        <w:pageBreakBefore/>
      </w:pPr>
    </w:p>
    <w:p>
      <w:pPr>
        <w:ind w:start="650"/>
      </w:pPr>
      <w:r>
        <w:rPr>
          <w:b w:val="true"/>
          <w:bCs w:val="true"/>
          <w:sz w:val="20"/>
          <w:szCs w:val="20"/>
        </w:rPr>
        <w:t xml:space="preserve">9.2 Paramater Tuning</w:t>
      </w:r>
    </w:p>
    <w:p>
      <w:r>
        <w:t xml:space="preserve"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0%"/>
      </w:tblPr>
      <w:tblGrid>
        <w:gridCol w:w="100"/>
        <w:gridCol w:w="100"/>
        <w:gridCol w:w="100"/>
        <w:gridCol w:w="100"/>
      </w:tblGrid>
      <w:tr>
        <w:tc>
          <w:tcPr>
            <w:vAlign w:val="center"/>
            <w:shd w:fill="42c5f4" w:val="pct95" w:color="4f81bd"/>
          </w:tcPr>
          <w:p>
            <w:r>
              <w:t xml:space="preserve">0,0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0,1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0,2</w:t>
            </w:r>
          </w:p>
        </w:tc>
        <w:tc>
          <w:tcPr>
            <w:vAlign w:val="center"/>
            <w:shd w:fill="42c5f4" w:val="pct95" w:color="4f81bd"/>
          </w:tcPr>
          <w:p>
            <w:r>
              <w:t xml:space="preserve">0,3</w:t>
            </w:r>
          </w:p>
        </w:tc>
      </w:tr>
      <w:tr>
        <w:tc>
          <w:tcPr>
            <w:vAlign w:val="center"/>
          </w:tcPr>
          <w:p>
            <w:r>
              <w:t xml:space="preserve">1,0</w:t>
            </w:r>
          </w:p>
        </w:tc>
        <w:tc>
          <w:tcPr>
            <w:vAlign w:val="center"/>
          </w:tcPr>
          <w:p>
            <w:r>
              <w:t xml:space="preserve">1,1</w:t>
            </w:r>
          </w:p>
        </w:tc>
        <w:tc>
          <w:tcPr>
            <w:vMerge w:val="restart"/>
            <w:vAlign w:val="center"/>
          </w:tcPr>
          <w:p>
            <w:r>
              <w:t xml:space="preserve">1,2</w:t>
            </w:r>
          </w:p>
        </w:tc>
        <w:tc>
          <w:tcPr>
            <w:vAlign w:val="center"/>
          </w:tcPr>
          <w:p>
            <w:r>
              <w:t xml:space="preserve">1,3</w:t>
            </w:r>
          </w:p>
        </w:tc>
      </w:tr>
      <w:tr>
        <w:tc>
          <w:tcPr>
            <w:vAlign w:val="center"/>
          </w:tcPr>
          <w:p>
            <w:r>
              <w:t xml:space="preserve">2,0</w:t>
            </w:r>
          </w:p>
        </w:tc>
        <w:tc>
          <w:tcPr>
            <w:vAlign w:val="center"/>
          </w:tcPr>
          <w:p>
            <w:r>
              <w:t xml:space="preserve">2,1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2,3</w:t>
            </w:r>
          </w:p>
        </w:tc>
      </w:tr>
      <w:tr>
        <w:tc>
          <w:tcPr>
            <w:vAlign w:val="center"/>
          </w:tcPr>
          <w:p>
            <w:r>
              <w:t xml:space="preserve">3,0</w:t>
            </w:r>
          </w:p>
        </w:tc>
        <w:tc>
          <w:tcPr>
            <w:vAlign w:val="center"/>
          </w:tcPr>
          <w:p>
            <w:r>
              <w:t xml:space="preserve">3,1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3,3</w:t>
            </w:r>
          </w:p>
        </w:tc>
      </w:tr>
      <w:tr>
        <w:tc>
          <w:tcPr>
            <w:vAlign w:val="center"/>
          </w:tcPr>
          <w:p>
            <w:r>
              <w:t xml:space="preserve">4,0</w:t>
            </w:r>
          </w:p>
        </w:tc>
        <w:tc>
          <w:tcPr>
            <w:vAlign w:val="center"/>
          </w:tcPr>
          <w:p>
            <w:r>
              <w:t xml:space="preserve">4,1</w:t>
            </w:r>
          </w:p>
        </w:tc>
        <w:tc>
          <w:tcPr>
            <w:vAlign w:val="center"/>
          </w:tcPr>
          <w:p>
            <w:r>
              <w:t xml:space="preserve">4,2</w:t>
            </w:r>
          </w:p>
        </w:tc>
        <w:tc>
          <w:tcPr>
            <w:vAlign w:val="center"/>
          </w:tcPr>
          <w:p>
            <w:r>
              <w:t xml:space="preserve">4,3</w:t>
            </w:r>
          </w:p>
        </w:tc>
      </w:tr>
      <w:tr>
        <w:tc>
          <w:tcPr>
            <w:vAlign w:val="center"/>
          </w:tcPr>
          <w:p>
            <w:r>
              <w:t xml:space="preserve">5,0</w:t>
            </w:r>
          </w:p>
        </w:tc>
        <w:tc>
          <w:tcPr>
            <w:vMerge w:val="restart"/>
            <w:vAlign w:val="center"/>
          </w:tcPr>
          <w:p>
            <w:r>
              <w:t xml:space="preserve">5,1</w:t>
            </w:r>
          </w:p>
        </w:tc>
        <w:tc>
          <w:tcPr>
            <w:vAlign w:val="center"/>
          </w:tcPr>
          <w:p>
            <w:r>
              <w:t xml:space="preserve">5,2</w:t>
            </w:r>
          </w:p>
        </w:tc>
        <w:tc>
          <w:tcPr>
            <w:vAlign w:val="center"/>
          </w:tcPr>
          <w:p>
            <w:r>
              <w:t xml:space="preserve">5,3</w:t>
            </w:r>
          </w:p>
        </w:tc>
      </w:tr>
      <w:tr>
        <w:tc>
          <w:tcPr>
            <w:vAlign w:val="center"/>
          </w:tcPr>
          <w:p>
            <w:r>
              <w:t xml:space="preserve">6,0</w:t>
            </w:r>
          </w:p>
        </w:tc>
        <w:tc>
          <w:tcPr>
            <w:vMerge w:val="continue"/>
          </w:tcPr>
          <w:p/>
        </w:tc>
        <w:tc>
          <w:tcPr>
            <w:vAlign w:val="center"/>
          </w:tcPr>
          <w:p>
            <w:r>
              <w:t xml:space="preserve">6,2</w:t>
            </w:r>
          </w:p>
        </w:tc>
        <w:tc>
          <w:tcPr>
            <w:vAlign w:val="center"/>
          </w:tcPr>
          <w:p>
            <w:r>
              <w:t xml:space="preserve">6,3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color="auto" w:space="1" w:val="single" w:sz="6"/>
      </w:pBdr>
    </w:pPr>
    <w:r>
      <w:t xml:space="preserve">2019-09-11                                  </w:t>
    </w:r>
    <w:r>
      <w:t xml:space="preserve">NOKIA Confidential                                 </w:t>
    </w:r>
    <w:r>
      <w:t xml:space="preserve">Page</w:t>
      <w:fldChar w:fldCharType="begin"/>
      <w:instrText xml:space="preserve">PAGE</w:instrText>
      <w:fldChar w:fldCharType="separate"/>
      <w:fldChar w:fldCharType="end"/>
    </w:r>
    <w:r>
      <w:t xml:space="preserve">Total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right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allowOverlap="1" behindDoc="0" locked="0" layoutInCell="1" relativeHeight="476250">
          <wp:simplePos x="0" y="0"/>
          <wp:positionH relativeFrom="outsideMargin">
            <wp:align>left</wp:align>
          </wp:positionH>
          <wp:positionV relativeFrom="outsideMargin">
            <wp:align>top</wp:align>
          </wp:positionV>
          <wp:extent cx="476250" cy="476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1" cstate="none"/>
                  <a:srcRect/>
                  <a:stretch>
                    <a:fillRect/>
                  </a:stretch>
                </pic:blipFill>
                <pic:spPr bwMode="auto">
                  <a:xfrm>
                    <a:ext cx="476250" cy="476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t xml:space="preserve"/>
    </w:r>
  </w:p>
  <w:p>
    <w:r>
      <w:t xml:space="preserve"/>
    </w:r>
  </w:p>
  <w:p>
    <w:pPr>
      <w:jc w:val="center"/>
      <w:pBdr>
        <w:bottom w:color="auto" w:space="1" w:val="single" w:sz="6"/>
      </w:pBdr>
    </w:pPr>
    <w:r>
      <w:t xml:space="preserve">LTE Cluster Acceptance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4m42y7ao7rdz0iuve03h9.png"/><Relationship Id="rId1" Type="http://schemas.openxmlformats.org/officeDocument/2006/relationships/image" Target="media/ryarbij7gwpbpzm4o8xhkf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2019-09-19T14:47:50Z</dcterms:created>
  <dcterms:modified xsi:type="dcterms:W3CDTF">2019-09-19T14:47:50Z</dcterms:modified>
</cp:coreProperties>
</file>