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0"/>
          <w:szCs w:val="20"/>
        </w:rPr>
        <w:t xml:space="preserve">9 Optimization Actions Taken</w:t>
      </w:r>
    </w:p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0"/>
          <w:szCs w:val="20"/>
        </w:rPr>
        <w:t xml:space="preserve">9.1 Physical and power actions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MRBTS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LNBTS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LNCEL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Angle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Action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Action Date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16,5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17,5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18,5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24,5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25,5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26,5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27,5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28,5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29,5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30,1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30,2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30,3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30,4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30,5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31,5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32,5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33,5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34,5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36,5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37,5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38,5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39,5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40,1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40,2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40,3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40,4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40,5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41,5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42,5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43,5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44,5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45,5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46,5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47,5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48,5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49,5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50,1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50,2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50,3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50,4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50,5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51,5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52,5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53,5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54,5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55,5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56,5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57,5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58,5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59,0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59,4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59,5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60,0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60,1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60,2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60,3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60,4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60,5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61,4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61,5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62,3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62,4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62,5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63,4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63,5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64,4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64,5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65,0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65,4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65,5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66,0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66,4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66,5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67,0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67,4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67,5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68,0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68,4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68,5</w:t>
            </w:r>
          </w:p>
        </w:tc>
      </w:tr>
    </w:tbl>
    <w:p>
      <w:pPr>
        <w:pageBreakBefore/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r>
              <w:t xml:space="preserve">0,0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0,1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1,0</w:t>
            </w:r>
          </w:p>
        </w:tc>
        <w:tc>
          <w:tcPr>
            <w:vAlign w:val="center"/>
          </w:tcPr>
          <w:p>
            <w:r>
              <w:t xml:space="preserve">1,1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2,0</w:t>
            </w:r>
          </w:p>
        </w:tc>
        <w:tc>
          <w:tcPr>
            <w:vAlign w:val="center"/>
          </w:tcPr>
          <w:p>
            <w:r>
              <w:t xml:space="preserve">2,1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3,0</w:t>
            </w:r>
          </w:p>
        </w:tc>
        <w:tc>
          <w:tcPr>
            <w:vAlign w:val="center"/>
          </w:tcPr>
          <w:p>
            <w:r>
              <w:t xml:space="preserve">3,1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4,0</w:t>
            </w:r>
          </w:p>
        </w:tc>
        <w:tc>
          <w:tcPr>
            <w:vAlign w:val="center"/>
          </w:tcPr>
          <w:p>
            <w:r>
              <w:t xml:space="preserve">4,1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5,0</w:t>
            </w:r>
          </w:p>
        </w:tc>
        <w:tc>
          <w:tcPr>
            <w:vAlign w:val="center"/>
          </w:tcPr>
          <w:p>
            <w:r>
              <w:t xml:space="preserve">5,1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6,0</w:t>
            </w:r>
          </w:p>
        </w:tc>
        <w:tc>
          <w:tcPr>
            <w:vAlign w:val="center"/>
          </w:tcPr>
          <w:p>
            <w:r>
              <w:t xml:space="preserve">6,1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7,0</w:t>
            </w:r>
          </w:p>
        </w:tc>
        <w:tc>
          <w:tcPr>
            <w:vAlign w:val="center"/>
          </w:tcPr>
          <w:p>
            <w:r>
              <w:t xml:space="preserve">7,1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8,0</w:t>
            </w:r>
          </w:p>
        </w:tc>
        <w:tc>
          <w:tcPr>
            <w:vAlign w:val="center"/>
          </w:tcPr>
          <w:p>
            <w:r>
              <w:t xml:space="preserve">8,1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ageBreakBefore/>
      </w:pPr>
    </w:p>
    <w:p>
      <w:pPr>
        <w:ind w:start="650"/>
      </w:pPr>
      <w:r>
        <w:rPr>
          <w:b w:val="true"/>
          <w:bCs w:val="true"/>
          <w:sz w:val="20"/>
          <w:szCs w:val="20"/>
        </w:rPr>
        <w:t xml:space="preserve">9.2 Paramater Tuning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Paramter Name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Action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Observation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Date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Merge w:val="restart"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</w:p>
        </w:tc>
        <w:tc>
          <w:tcPr>
            <w:vMerge w:val="restart"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</w:tbl>
    <w:sectPr>
      <w:pgSz w:w="11906" w:h="16838" w:orient="portrait"/>
      <w:pgMar w:top="20" w:right="500" w:bottom="20" w:left="50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text">
        <w:top w:color="auto" w:space="20" w:val="single" w:size="6"/>
        <w:right w:color="auto" w:space="20" w:val="single" w:size="6"/>
        <w:bottom w:color="auto" w:space="20" w:val="single" w:size="6"/>
        <w:left w:color="auto" w:space="20" w:val="single" w:size="6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2019-10-1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right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left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u5w8026tlxoqkdj1n9pqj8.png"/><Relationship Id="rId1" Type="http://schemas.openxmlformats.org/officeDocument/2006/relationships/image" Target="media/hgbq40ciembbvkyp4w9317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2019-10-01T16:21:35Z</dcterms:created>
  <dcterms:modified xsi:type="dcterms:W3CDTF">2019-10-01T16:21:35Z</dcterms:modified>
</cp:coreProperties>
</file>