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7 OSS KPIs on Cluster Level Results</w:t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7.1 Plot of DL MCS Allocated Average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7.2 Plot of UL MCS Allocated Average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7.3 Plot of CQI Distribution</w:t>
      </w:r>
    </w:p>
    <w:p>
      <w:r>
        <w:t xml:space="preserve"/>
      </w:r>
    </w:p>
    <w:p>
      <w:pPr>
        <w:pageBreakBefore/>
      </w:pP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7.4 Plot of RACH Success Rate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7.5 Plot of RRC Connection Setup Success Rate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7.6 Plot of CSFB Setup Success Rate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pageBreakBefore/>
      </w:pP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7.7 Plot of ERAB Drop Rate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7.8 Plot of LTE Intra-frequency HO Success Rate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7.9 Plot of LTE Inter-frequency HO Success Rate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pageBreakBefore/>
      </w:pP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7.10 Plot of Average Downlink PDCP User Throughput @ 10 MHz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7.11 Plot of Average Uplink PDCP User Throughput @ 10 MHz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7.12 Plot of Average Downlink PDCP User Throughput @ 5 MHz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pageBreakBefore/>
      </w:pP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7.13 Plot of Average Uplink PDCP User Throughput @ 5 MHz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7.14 Plot of Downlink BLER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7.15 Plot of Uplink BLER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pageBreakBefore/>
      </w:pP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7.16 Plot of ENB Availbility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ind w:start="1000"/>
      </w:pPr>
      <w:r>
        <w:rPr>
          <w:b w:val="true"/>
          <w:bCs w:val="true"/>
          <w:sz w:val="20"/>
          <w:szCs w:val="20"/>
        </w:rPr>
        <w:t xml:space="preserve">8 Plot of Traffic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2019-10-1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right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left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6mufb2jlm6ivu8ocdtfy.png"/><Relationship Id="rId1" Type="http://schemas.openxmlformats.org/officeDocument/2006/relationships/image" Target="media/4widnzjiw5g8zuy0epcohi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2019-10-01T15:27:55Z</dcterms:created>
  <dcterms:modified xsi:type="dcterms:W3CDTF">2019-10-01T15:27:55Z</dcterms:modified>
</cp:coreProperties>
</file>