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                SCOPE.......................................................5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                ACCEPTANCE KPIS............................................5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               Drive Test KPIs (Cluster Level)..............................5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               OSS KPIs (Cluster Level)...................................6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                Drive Test Criteria.............................................6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                Definitions of KPI Formula.......................................7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                Drive Test Definition...............................................8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              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              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               Cluster Polygon figure + DT Route Figure.......................8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                 Drive Test Result............................................6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               Scenario 1: Connected Mode Locked L700.......................13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  <w:r>
        <w:br w:type="page"/>
      </w: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7                 OSS KPIS ON CLUSTER LEVEL RESULTS...............51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8                 PLOT OF TRAFFIC..............................56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9                 OPTIMIZATION ACTIONS TAKEN..........................57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10               PERFORMANCE SUMMARY.................................60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  <w:jc w:val="center"/>
    </w:pPr>
    <w:r>
      <w:t xml:space="preserve">2019-10-3                                          </w:t>
    </w:r>
    <w:r>
      <w:t xml:space="preserve">NOKIA Confidential                                             </w:t>
    </w:r>
    <w:r>
      <w:t xml:space="preserve">Page </w:t>
      <w:fldChar w:fldCharType="begin"/>
      <w:instrText xml:space="preserve">PAGE</w:instrText>
      <w:fldChar w:fldCharType="separate"/>
      <w:fldChar w:fldCharType="end"/>
    </w:r>
    <w:r>
      <w:t xml:space="preserve"> </w:t>
    </w:r>
    <w:r>
      <w:t xml:space="preserve">Total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2857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285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drawing>
        <wp:inline distT="0" distB="0" distL="0" distR="0">
          <wp:extent cx="476250" cy="4762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t3ng67ilp6of6vnqchb23i.png"/><Relationship Id="rId1" Type="http://schemas.openxmlformats.org/officeDocument/2006/relationships/image" Target="media/1r5c6vsz29d1smel4ncik5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2019-10-03T09:05:44Z</dcterms:created>
  <dcterms:modified xsi:type="dcterms:W3CDTF">2019-10-03T09:05:44Z</dcterms:modified>
</cp:coreProperties>
</file>