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EF1" w:rsidRDefault="00B63823">
      <w:r w:rsidRPr="00C200C2">
        <w:t>For TB prevention, care and control activities human resources for health includes all staff who make each individual intervention and public-health intervention happen. Without sufficient, adequately trained, motivated, skilled, readily available (that is, well distributed) and supported human resources, it will not be possible to achieve global TB-control targets. In addition, a lack of human resources often limits the capacity of countries to absorb resources from donor agencies. Human resources development is synonymous with training. Donors, technical partners and other partners have often emphasized the need for training courses and the number of trained staff to the detriment of the quality of training and the formulation of coherent and comprehensive development strategies for staff that addressing the issues of retaining staff for example.</w:t>
      </w:r>
      <w:bookmarkStart w:id="0" w:name="_GoBack"/>
      <w:bookmarkEnd w:id="0"/>
    </w:p>
    <w:sectPr w:rsidR="0022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1D4"/>
    <w:rsid w:val="00224EF1"/>
    <w:rsid w:val="007951D4"/>
    <w:rsid w:val="00B638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6B3BC-9611-4610-8FEB-8AA1DBFC6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Nasri Yatim</dc:creator>
  <cp:keywords/>
  <dc:description/>
  <cp:lastModifiedBy>Nasri Yatim</cp:lastModifiedBy>
  <cp:revision>2</cp:revision>
  <dcterms:created xsi:type="dcterms:W3CDTF">2017-03-30T14:51:00Z</dcterms:created>
  <dcterms:modified xsi:type="dcterms:W3CDTF">2017-03-30T14:51:00Z</dcterms:modified>
</cp:coreProperties>
</file>