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42"/>
        </w:rPr>
        <w:t>Auto Ticket Classification Using ServiceNow Flow Designer</w:t>
      </w:r>
    </w:p>
    <w:p>
      <w:pPr>
        <w:jc w:val="center"/>
      </w:pPr>
      <w:r>
        <w:rPr>
          <w:b/>
          <w:sz w:val="32"/>
        </w:rPr>
        <w:t>6. Project Documentation</w:t>
      </w:r>
    </w:p>
    <w:p>
      <w:pPr>
        <w:jc w:val="center"/>
        <w:rPr>
          <w:b/>
          <w:bCs/>
        </w:rPr>
      </w:pPr>
      <w:bookmarkStart w:id="0" w:name="_GoBack"/>
      <w:r>
        <w:rPr>
          <w:b/>
          <w:bCs/>
        </w:rPr>
        <w:t>Team ID : SWTID-2026-1622</w:t>
      </w:r>
    </w:p>
    <w:p>
      <w:pPr>
        <w:rPr>
          <w:b/>
          <w:bCs/>
        </w:rPr>
      </w:pPr>
    </w:p>
    <w:p>
      <w:pPr>
        <w:pStyle w:val="1"/>
      </w:pPr>
      <w:bookmarkEnd w:id="0"/>
      <w:r>
        <w:t>Abstract</w:t>
      </w:r>
    </w:p>
    <w:p>
      <w:r>
        <w:t>This document serves as the consolidated technical and user-facing record for the Auto Ticket Classification prototype, including operation, maintenance, deployment, limitations, and evidence.</w:t>
      </w:r>
    </w:p>
    <w:p>
      <w:pPr>
        <w:pStyle w:val="1"/>
      </w:pPr>
      <w:r>
        <w:t>1. System Summary</w:t>
      </w:r>
    </w:p>
    <w:p>
      <w:r>
        <w:t>A custom ServiceNow ticket table stores caller and issue information. A Flow Designer flow runs when a record is created and its Category is empty. It evaluates the Short Description against predefined keywords and sets Category and Subcategory. A confirmation email is sent to the caller.</w:t>
      </w:r>
    </w:p>
    <w:p>
      <w:pPr>
        <w:pStyle w:val="2"/>
      </w:pPr>
      <w:r>
        <w:t>2. User Procedure</w:t>
      </w:r>
    </w:p>
    <w:p>
      <w:r>
        <w:t>A student or teacher opens the ticket form, selects or enters Caller, and provides a clear Short Description (and Description if available). The user submits the record. The flow assigns a category/subcategory for recognized keywords and sends a confirmation email when the email action succeeds.</w:t>
      </w:r>
    </w:p>
    <w:p>
      <w:pPr>
        <w:pStyle w:val="2"/>
      </w:pPr>
      <w:r>
        <w:t>3. Administrator Procedure</w:t>
      </w:r>
    </w:p>
    <w:p>
      <w:r>
        <w:t>Review the Incident Workflow table fields and choice mappings. Open Flow Designer to inspect the active flow and branch conditions. Update keyword rules only through controlled change management, then run regression tests for every supported category.</w:t>
      </w:r>
    </w:p>
    <w:p>
      <w:pPr>
        <w:pStyle w:val="2"/>
      </w:pPr>
      <w:r>
        <w:t>4. Test Evidence Register</w:t>
      </w:r>
    </w:p>
    <w:p>
      <w:r>
        <w:t>Documented in the supplied report: WiFi not working in library → Network/WiFi, with caller email sent; Projector not turning on → Hardware/Projector, with caller email sent. Recommended additional cases: Forgot password; Slow computer; unmatched phrase; multiple keywords; missing caller email; blank short description; and unauthorized access.</w:t>
      </w:r>
    </w:p>
    <w:p>
      <w:pPr>
        <w:pStyle w:val="2"/>
      </w:pPr>
      <w:r>
        <w:t>5. Deployment Procedure</w:t>
      </w:r>
    </w:p>
    <w:p>
      <w:r>
        <w:t>Open Local Update Sets, select Project Update Set, change State from In progress to Complete, save, and use Export to XML. Import into the target instance using the platform's update-set process, preview/commit as applicable, then verify table, fields, choices, flow activation, and email configuration.</w:t>
      </w:r>
    </w:p>
    <w:p>
      <w:pPr>
        <w:pStyle w:val="2"/>
      </w:pPr>
      <w:r>
        <w:t>6. Maintenance</w:t>
      </w:r>
    </w:p>
    <w:p>
      <w:r>
        <w:t>Maintain a controlled keyword-to-category mapping. Review misclassified tickets periodically, add approved synonyms, avoid overly broad terms, and rerun all positive and negative tests after changes.</w:t>
      </w:r>
    </w:p>
    <w:p>
      <w:pPr>
        <w:pStyle w:val="2"/>
      </w:pPr>
      <w:r>
        <w:t>7. Known Limitations</w:t>
      </w:r>
    </w:p>
    <w:p>
      <w:r>
        <w:t>Keyword rules may miss synonyms, typos, context, or mixed requests. Email delivery depends on caller email and instance mail configuration. The supplied evidence demonstrates two scenarios; other branches need recorded test results. Production readiness also requires formal access-control and operational review.</w:t>
      </w:r>
    </w:p>
    <w:p>
      <w:pPr>
        <w:pStyle w:val="2"/>
      </w:pPr>
      <w:r>
        <w:t>8. Future Enhancements</w:t>
      </w:r>
    </w:p>
    <w:p>
      <w:r>
        <w:t>Add assignment-group routing, SLA tracking, escalation, richer email templates, dashboard metrics, synonym normalization, multilingual support, and eventually predictive classification if supported by a validated dataset and governance process.</w:t>
      </w:r>
    </w:p>
    <w:p>
      <w:pPr>
        <w:pStyle w:val="2"/>
      </w:pPr>
      <w:r>
        <w:t>9. References and Source Basis</w:t>
      </w:r>
    </w:p>
    <w:p>
      <w:r>
        <w:t>Primary source: user-provided project report, “Auto Ticket Classification using Flow Designer” (26 pages). The report is the basis for the table, field names, branch mappings, configuration sequence, two documented test scenarios, and Update Set export procedure. Platform-specific implementation should be checked against the ServiceNow documentation matching the deployed release.</w:t>
      </w:r>
    </w:p>
    <w:p>
      <w:pPr>
        <w:pStyle w:val="2"/>
      </w:pPr>
      <w:r>
        <w:t>Document Note</w:t>
      </w:r>
    </w:p>
    <w:p>
      <w:r>
        <w:t>This draft is grounded in the supplied project report. Confirm instance-specific screenshots, configuration values, test outcomes, student/institution details, and supervisor requirements before submission.</w:t>
      </w:r>
    </w:p>
    <w:sectPr>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auto"/>
    <w:pitch w:val="variable"/>
    <w:sig w:usb0="E10002FF" w:usb1="4000ACFF" w:usb2="00000009"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72"/>
  <w:bordersDoNotSurroundHeader/>
  <w:bordersDoNotSurroundFooter/>
  <w:defaultTabStop w:val="720"/>
  <w:drawingGridHorizontalSpacing w:val="105"/>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ＭＳ 明朝" w:cs="Arial" w:hAnsi="Calibri"/>
      <w:sz w:val="21"/>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32"/>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4"/>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48"/>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ages>1</Pages>
  <Words>4</Words>
  <Characters>22</Characters>
  <Lines>2</Lines>
  <Paragraphs>1</Paragraphs>
  <CharactersWithSpaces>25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HONOR Docs</cp:lastModifiedBy>
  <cp:revision>1</cp:revision>
  <dcterms:created xsi:type="dcterms:W3CDTF">2013-12-23T23:15:00Z</dcterms:created>
  <dcterms:modified xsi:type="dcterms:W3CDTF">2026-10-04T08:13:58Z</dcterms:modified>
</cp:coreProperties>
</file>