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CADD" w14:textId="77777777" w:rsidR="00F4037A" w:rsidRPr="003A259F" w:rsidRDefault="00F4037A" w:rsidP="006E2E32">
      <w:pPr>
        <w:pStyle w:val="BATitle"/>
        <w:tabs>
          <w:tab w:val="center" w:pos="5025"/>
        </w:tabs>
        <w:spacing w:before="0" w:line="240" w:lineRule="auto"/>
        <w:ind w:left="0"/>
        <w:jc w:val="left"/>
        <w:rPr>
          <w:rFonts w:ascii="Century Gothic" w:hAnsi="Century Gothic" w:cs="Calibri"/>
          <w:sz w:val="32"/>
          <w:szCs w:val="32"/>
        </w:rPr>
      </w:pPr>
    </w:p>
    <w:tbl>
      <w:tblPr>
        <w:tblW w:w="0" w:type="auto"/>
        <w:jc w:val="center"/>
        <w:tblLook w:val="04A0" w:firstRow="1" w:lastRow="0" w:firstColumn="1" w:lastColumn="0" w:noHBand="0" w:noVBand="1"/>
      </w:tblPr>
      <w:tblGrid>
        <w:gridCol w:w="3372"/>
        <w:gridCol w:w="505"/>
        <w:gridCol w:w="2821"/>
        <w:gridCol w:w="811"/>
        <w:gridCol w:w="2543"/>
      </w:tblGrid>
      <w:tr w:rsidR="00E0217E" w:rsidRPr="003A259F" w14:paraId="5E9A20A9" w14:textId="77777777" w:rsidTr="003B1B71">
        <w:trPr>
          <w:trHeight w:val="914"/>
          <w:jc w:val="center"/>
        </w:trPr>
        <w:tc>
          <w:tcPr>
            <w:tcW w:w="3372" w:type="dxa"/>
          </w:tcPr>
          <w:p w14:paraId="773854A7" w14:textId="77777777" w:rsidR="00E0217E" w:rsidRPr="00BB3F74" w:rsidRDefault="00E0217E" w:rsidP="006E2E32">
            <w:pPr>
              <w:jc w:val="left"/>
              <w:rPr>
                <w:rFonts w:ascii="Century Gothic" w:hAnsi="Century Gothic"/>
                <w:b/>
                <w:color w:val="943634"/>
                <w:sz w:val="36"/>
                <w:szCs w:val="36"/>
              </w:rPr>
            </w:pPr>
            <w:proofErr w:type="spellStart"/>
            <w:r w:rsidRPr="00BB3F74">
              <w:rPr>
                <w:rFonts w:ascii="Century Gothic" w:hAnsi="Century Gothic"/>
                <w:b/>
                <w:color w:val="943634"/>
                <w:sz w:val="36"/>
                <w:szCs w:val="36"/>
              </w:rPr>
              <w:t>Jurnal</w:t>
            </w:r>
            <w:proofErr w:type="spellEnd"/>
          </w:p>
          <w:p w14:paraId="471478BD" w14:textId="77777777" w:rsidR="00E0217E" w:rsidRPr="00BB3F74" w:rsidRDefault="00E0217E" w:rsidP="006E2E32">
            <w:pPr>
              <w:jc w:val="left"/>
              <w:rPr>
                <w:rFonts w:ascii="Century Gothic" w:hAnsi="Century Gothic"/>
                <w:b/>
                <w:color w:val="943634"/>
                <w:sz w:val="36"/>
                <w:szCs w:val="36"/>
              </w:rPr>
            </w:pPr>
            <w:proofErr w:type="spellStart"/>
            <w:r w:rsidRPr="00BB3F74">
              <w:rPr>
                <w:rFonts w:ascii="Century Gothic" w:hAnsi="Century Gothic"/>
                <w:b/>
                <w:color w:val="943634"/>
                <w:sz w:val="36"/>
                <w:szCs w:val="36"/>
              </w:rPr>
              <w:t>Teknologi</w:t>
            </w:r>
            <w:proofErr w:type="spellEnd"/>
          </w:p>
        </w:tc>
        <w:tc>
          <w:tcPr>
            <w:tcW w:w="4137" w:type="dxa"/>
            <w:gridSpan w:val="3"/>
          </w:tcPr>
          <w:p w14:paraId="7768BE0D" w14:textId="77777777" w:rsidR="00E0217E" w:rsidRPr="00BB3F74" w:rsidRDefault="00E0217E" w:rsidP="006E2E32">
            <w:pPr>
              <w:jc w:val="left"/>
              <w:rPr>
                <w:rFonts w:ascii="Century Gothic" w:hAnsi="Century Gothic"/>
                <w:b/>
                <w:color w:val="943634"/>
                <w:sz w:val="36"/>
                <w:szCs w:val="36"/>
              </w:rPr>
            </w:pPr>
          </w:p>
          <w:p w14:paraId="084FFF4C" w14:textId="77777777" w:rsidR="00E0217E" w:rsidRPr="00BB3F74" w:rsidRDefault="00E0217E" w:rsidP="006E2E32">
            <w:pPr>
              <w:jc w:val="right"/>
              <w:rPr>
                <w:rFonts w:ascii="Century Gothic" w:hAnsi="Century Gothic"/>
                <w:b/>
                <w:color w:val="17365D"/>
                <w:sz w:val="20"/>
              </w:rPr>
            </w:pPr>
          </w:p>
        </w:tc>
        <w:tc>
          <w:tcPr>
            <w:tcW w:w="2543" w:type="dxa"/>
            <w:shd w:val="clear" w:color="auto" w:fill="943634"/>
            <w:vAlign w:val="center"/>
          </w:tcPr>
          <w:p w14:paraId="0001C2C8" w14:textId="77777777" w:rsidR="00E0217E" w:rsidRPr="00BB3F74" w:rsidRDefault="00E0217E" w:rsidP="006E2E32">
            <w:pPr>
              <w:jc w:val="center"/>
              <w:rPr>
                <w:rFonts w:ascii="Century Gothic" w:hAnsi="Century Gothic"/>
                <w:b/>
                <w:color w:val="FFFFFF"/>
                <w:szCs w:val="22"/>
              </w:rPr>
            </w:pPr>
            <w:r w:rsidRPr="00BB3F74">
              <w:rPr>
                <w:rFonts w:ascii="Century Gothic" w:hAnsi="Century Gothic"/>
                <w:b/>
                <w:color w:val="FFFFFF"/>
                <w:szCs w:val="22"/>
              </w:rPr>
              <w:t>Full Paper</w:t>
            </w:r>
          </w:p>
        </w:tc>
      </w:tr>
      <w:tr w:rsidR="00E0217E" w:rsidRPr="003A259F" w14:paraId="33CA3A4B" w14:textId="77777777" w:rsidTr="003B1B71">
        <w:trPr>
          <w:trHeight w:val="131"/>
          <w:jc w:val="center"/>
        </w:trPr>
        <w:tc>
          <w:tcPr>
            <w:tcW w:w="3372" w:type="dxa"/>
            <w:shd w:val="clear" w:color="auto" w:fill="943634"/>
          </w:tcPr>
          <w:p w14:paraId="59E3E177" w14:textId="77777777" w:rsidR="00E0217E" w:rsidRPr="00BB3F74" w:rsidRDefault="00E0217E" w:rsidP="006E2E32">
            <w:pPr>
              <w:jc w:val="left"/>
              <w:rPr>
                <w:rFonts w:ascii="Century Gothic" w:hAnsi="Century Gothic"/>
                <w:b/>
                <w:color w:val="943634"/>
                <w:sz w:val="2"/>
                <w:szCs w:val="2"/>
              </w:rPr>
            </w:pPr>
          </w:p>
        </w:tc>
        <w:tc>
          <w:tcPr>
            <w:tcW w:w="4137" w:type="dxa"/>
            <w:gridSpan w:val="3"/>
            <w:shd w:val="clear" w:color="auto" w:fill="943634"/>
          </w:tcPr>
          <w:p w14:paraId="164D736A" w14:textId="77777777" w:rsidR="00E0217E" w:rsidRPr="00BB3F74" w:rsidRDefault="00E0217E" w:rsidP="006E2E32">
            <w:pPr>
              <w:jc w:val="left"/>
              <w:rPr>
                <w:rFonts w:ascii="Century Gothic" w:hAnsi="Century Gothic"/>
                <w:b/>
                <w:color w:val="943634"/>
                <w:sz w:val="2"/>
                <w:szCs w:val="2"/>
              </w:rPr>
            </w:pPr>
          </w:p>
        </w:tc>
        <w:tc>
          <w:tcPr>
            <w:tcW w:w="2543" w:type="dxa"/>
            <w:shd w:val="clear" w:color="auto" w:fill="943634"/>
            <w:vAlign w:val="center"/>
          </w:tcPr>
          <w:p w14:paraId="3451738A" w14:textId="77777777" w:rsidR="00E0217E" w:rsidRPr="00BB3F74" w:rsidRDefault="00E0217E" w:rsidP="006E2E32">
            <w:pPr>
              <w:jc w:val="center"/>
              <w:rPr>
                <w:rFonts w:ascii="Century Gothic" w:hAnsi="Century Gothic"/>
                <w:b/>
                <w:color w:val="FFFFFF"/>
                <w:sz w:val="2"/>
                <w:szCs w:val="2"/>
              </w:rPr>
            </w:pPr>
          </w:p>
        </w:tc>
      </w:tr>
      <w:tr w:rsidR="003A259F" w:rsidRPr="003A259F" w14:paraId="5C7FA502" w14:textId="77777777" w:rsidTr="003B1B71">
        <w:trPr>
          <w:trHeight w:val="131"/>
          <w:jc w:val="center"/>
        </w:trPr>
        <w:tc>
          <w:tcPr>
            <w:tcW w:w="3372" w:type="dxa"/>
          </w:tcPr>
          <w:p w14:paraId="702B1BD2" w14:textId="77777777" w:rsidR="003A259F" w:rsidRPr="00BB3F74" w:rsidRDefault="003A259F" w:rsidP="006E2E32">
            <w:pPr>
              <w:jc w:val="left"/>
              <w:rPr>
                <w:rFonts w:ascii="Century Gothic" w:hAnsi="Century Gothic"/>
                <w:b/>
                <w:color w:val="943634"/>
                <w:sz w:val="2"/>
                <w:szCs w:val="2"/>
              </w:rPr>
            </w:pPr>
          </w:p>
        </w:tc>
        <w:tc>
          <w:tcPr>
            <w:tcW w:w="4137" w:type="dxa"/>
            <w:gridSpan w:val="3"/>
          </w:tcPr>
          <w:p w14:paraId="40D7398E" w14:textId="77777777" w:rsidR="003A259F" w:rsidRPr="00BB3F74" w:rsidRDefault="003A259F" w:rsidP="006E2E32">
            <w:pPr>
              <w:jc w:val="left"/>
              <w:rPr>
                <w:rFonts w:ascii="Century Gothic" w:hAnsi="Century Gothic"/>
                <w:b/>
                <w:color w:val="943634"/>
                <w:sz w:val="2"/>
                <w:szCs w:val="2"/>
              </w:rPr>
            </w:pPr>
          </w:p>
        </w:tc>
        <w:tc>
          <w:tcPr>
            <w:tcW w:w="2543" w:type="dxa"/>
            <w:vAlign w:val="center"/>
          </w:tcPr>
          <w:p w14:paraId="1BC7D694" w14:textId="77777777" w:rsidR="003A259F" w:rsidRPr="00BB3F74" w:rsidRDefault="003A259F" w:rsidP="006E2E32">
            <w:pPr>
              <w:jc w:val="center"/>
              <w:rPr>
                <w:rFonts w:ascii="Century Gothic" w:hAnsi="Century Gothic"/>
                <w:b/>
                <w:color w:val="FFFFFF"/>
                <w:sz w:val="2"/>
                <w:szCs w:val="2"/>
              </w:rPr>
            </w:pPr>
          </w:p>
        </w:tc>
      </w:tr>
      <w:tr w:rsidR="00E0217E" w:rsidRPr="003A259F" w14:paraId="5F260108" w14:textId="77777777" w:rsidTr="003B1B71">
        <w:trPr>
          <w:trHeight w:val="2418"/>
          <w:jc w:val="center"/>
        </w:trPr>
        <w:tc>
          <w:tcPr>
            <w:tcW w:w="6698" w:type="dxa"/>
            <w:gridSpan w:val="3"/>
            <w:tcBorders>
              <w:bottom w:val="single" w:sz="4" w:space="0" w:color="943634"/>
            </w:tcBorders>
          </w:tcPr>
          <w:p w14:paraId="0905A0EE" w14:textId="1D071D7E" w:rsidR="00256796" w:rsidRPr="006E1A14" w:rsidRDefault="00B54586" w:rsidP="006E2E32">
            <w:pPr>
              <w:pStyle w:val="NormalWeb"/>
              <w:rPr>
                <w:rFonts w:ascii="Century Gothic" w:hAnsi="Century Gothic"/>
                <w:b/>
                <w:bCs/>
                <w:color w:val="000000"/>
                <w:sz w:val="32"/>
                <w:szCs w:val="32"/>
              </w:rPr>
            </w:pPr>
            <w:r w:rsidRPr="00B54586">
              <w:rPr>
                <w:rFonts w:ascii="Century Gothic" w:hAnsi="Century Gothic"/>
                <w:b/>
                <w:bCs/>
                <w:color w:val="000000"/>
                <w:sz w:val="32"/>
                <w:szCs w:val="32"/>
              </w:rPr>
              <w:t>A COMPARATIVE ANALYSIS OF STEP FUNCTION AND SUPPORT VECTOR REGRESSION-X (SVRX) INTERVENTIONS IN FORECASTING THE STOCK PRICE OF PT VALE INDONESIA TBK</w:t>
            </w:r>
          </w:p>
          <w:p w14:paraId="7F21E76C" w14:textId="2EA3D7AD" w:rsidR="00E0217E" w:rsidRPr="00BB3F74" w:rsidRDefault="00B54586" w:rsidP="006E2E32">
            <w:pPr>
              <w:rPr>
                <w:rFonts w:ascii="Century Gothic" w:hAnsi="Century Gothic"/>
              </w:rPr>
            </w:pPr>
            <w:r>
              <w:rPr>
                <w:rFonts w:ascii="Century Gothic" w:hAnsi="Century Gothic"/>
              </w:rPr>
              <w:t xml:space="preserve">Elly </w:t>
            </w:r>
            <w:proofErr w:type="spellStart"/>
            <w:r>
              <w:rPr>
                <w:rFonts w:ascii="Century Gothic" w:hAnsi="Century Gothic"/>
              </w:rPr>
              <w:t>Pusporani</w:t>
            </w:r>
            <w:proofErr w:type="spellEnd"/>
            <w:r w:rsidR="0047589A" w:rsidRPr="0047589A">
              <w:rPr>
                <w:rFonts w:ascii="Century Gothic" w:hAnsi="Century Gothic"/>
              </w:rPr>
              <w:t>*</w:t>
            </w:r>
            <w:r w:rsidR="00E0217E" w:rsidRPr="00BB3F74">
              <w:rPr>
                <w:rFonts w:ascii="Century Gothic" w:hAnsi="Century Gothic"/>
              </w:rPr>
              <w:t xml:space="preserve">, </w:t>
            </w:r>
            <w:r>
              <w:rPr>
                <w:rFonts w:ascii="Century Gothic" w:hAnsi="Century Gothic"/>
              </w:rPr>
              <w:t>Salman Syaugi Sungkar</w:t>
            </w:r>
            <w:r w:rsidR="00897222" w:rsidRPr="00BB3F74">
              <w:rPr>
                <w:rFonts w:ascii="Century Gothic" w:hAnsi="Century Gothic"/>
              </w:rPr>
              <w:t xml:space="preserve">, </w:t>
            </w:r>
            <w:r>
              <w:rPr>
                <w:rFonts w:ascii="Century Gothic" w:hAnsi="Century Gothic"/>
              </w:rPr>
              <w:t xml:space="preserve">Farhan Aldan </w:t>
            </w:r>
            <w:proofErr w:type="spellStart"/>
            <w:r>
              <w:rPr>
                <w:rFonts w:ascii="Century Gothic" w:hAnsi="Century Gothic"/>
              </w:rPr>
              <w:t>Khairian</w:t>
            </w:r>
            <w:proofErr w:type="spellEnd"/>
          </w:p>
          <w:p w14:paraId="52B809BA" w14:textId="77777777" w:rsidR="00E0217E" w:rsidRPr="00BB3F74" w:rsidRDefault="00E0217E" w:rsidP="006E2E32">
            <w:pPr>
              <w:rPr>
                <w:rFonts w:ascii="Century Gothic" w:hAnsi="Century Gothic"/>
              </w:rPr>
            </w:pPr>
          </w:p>
          <w:p w14:paraId="734362B8" w14:textId="1A0D4F4A" w:rsidR="00E0217E" w:rsidRPr="00B54586" w:rsidRDefault="00B54586" w:rsidP="006E2E32">
            <w:pPr>
              <w:rPr>
                <w:rFonts w:ascii="Century Gothic" w:hAnsi="Century Gothic"/>
                <w:szCs w:val="22"/>
              </w:rPr>
            </w:pPr>
            <w:r w:rsidRPr="00B54586">
              <w:rPr>
                <w:rFonts w:ascii="Century Gothic" w:hAnsi="Century Gothic"/>
                <w:color w:val="000000"/>
                <w:szCs w:val="22"/>
              </w:rPr>
              <w:t>Department of Mathematics,</w:t>
            </w:r>
            <w:r w:rsidRPr="00B54586">
              <w:rPr>
                <w:rStyle w:val="apple-converted-space"/>
                <w:rFonts w:ascii="Century Gothic" w:hAnsi="Century Gothic"/>
                <w:color w:val="000000"/>
                <w:szCs w:val="22"/>
              </w:rPr>
              <w:t> </w:t>
            </w:r>
            <w:r w:rsidRPr="00B54586">
              <w:rPr>
                <w:rStyle w:val="whitespace-normal"/>
                <w:rFonts w:ascii="Century Gothic" w:hAnsi="Century Gothic"/>
                <w:color w:val="000000"/>
                <w:szCs w:val="22"/>
              </w:rPr>
              <w:t>Airlangga University</w:t>
            </w:r>
            <w:r w:rsidRPr="00B54586">
              <w:rPr>
                <w:rFonts w:ascii="Century Gothic" w:hAnsi="Century Gothic"/>
                <w:color w:val="000000"/>
                <w:szCs w:val="22"/>
              </w:rPr>
              <w:t xml:space="preserve">, Jl. Soekarno, </w:t>
            </w:r>
            <w:proofErr w:type="spellStart"/>
            <w:r w:rsidRPr="00B54586">
              <w:rPr>
                <w:rFonts w:ascii="Century Gothic" w:hAnsi="Century Gothic"/>
                <w:color w:val="000000"/>
                <w:szCs w:val="22"/>
              </w:rPr>
              <w:t>Mulyorejo</w:t>
            </w:r>
            <w:proofErr w:type="spellEnd"/>
            <w:r w:rsidRPr="00B54586">
              <w:rPr>
                <w:rFonts w:ascii="Century Gothic" w:hAnsi="Century Gothic"/>
                <w:color w:val="000000"/>
                <w:szCs w:val="22"/>
              </w:rPr>
              <w:t xml:space="preserve">, </w:t>
            </w:r>
            <w:proofErr w:type="spellStart"/>
            <w:r w:rsidRPr="00B54586">
              <w:rPr>
                <w:rFonts w:ascii="Century Gothic" w:hAnsi="Century Gothic"/>
                <w:color w:val="000000"/>
                <w:szCs w:val="22"/>
              </w:rPr>
              <w:t>Mulyorejo</w:t>
            </w:r>
            <w:proofErr w:type="spellEnd"/>
            <w:r w:rsidRPr="00B54586">
              <w:rPr>
                <w:rFonts w:ascii="Century Gothic" w:hAnsi="Century Gothic"/>
                <w:color w:val="000000"/>
                <w:szCs w:val="22"/>
              </w:rPr>
              <w:t xml:space="preserve"> District, Surabaya, East Java, 60115, Indonesia</w:t>
            </w:r>
          </w:p>
        </w:tc>
        <w:tc>
          <w:tcPr>
            <w:tcW w:w="3354" w:type="dxa"/>
            <w:gridSpan w:val="2"/>
            <w:tcBorders>
              <w:bottom w:val="single" w:sz="4" w:space="0" w:color="943634"/>
            </w:tcBorders>
          </w:tcPr>
          <w:p w14:paraId="7B2F1896" w14:textId="77777777" w:rsidR="00E0217E" w:rsidRPr="00BB3F74" w:rsidRDefault="00E0217E" w:rsidP="006E2E32">
            <w:pPr>
              <w:jc w:val="right"/>
              <w:rPr>
                <w:rFonts w:ascii="Century Gothic" w:hAnsi="Century Gothic"/>
                <w:b/>
                <w:sz w:val="20"/>
              </w:rPr>
            </w:pPr>
            <w:r w:rsidRPr="00BB3F74">
              <w:rPr>
                <w:rFonts w:ascii="Century Gothic" w:hAnsi="Century Gothic"/>
                <w:b/>
                <w:sz w:val="20"/>
              </w:rPr>
              <w:t>Article history</w:t>
            </w:r>
          </w:p>
          <w:p w14:paraId="58CF3A7C" w14:textId="77777777" w:rsidR="00E0217E" w:rsidRPr="00BB3F74" w:rsidRDefault="00E0217E" w:rsidP="006E2E32">
            <w:pPr>
              <w:jc w:val="right"/>
              <w:rPr>
                <w:rFonts w:ascii="Century Gothic" w:hAnsi="Century Gothic"/>
                <w:sz w:val="20"/>
              </w:rPr>
            </w:pPr>
            <w:r w:rsidRPr="00BB3F74">
              <w:rPr>
                <w:rFonts w:ascii="Century Gothic" w:hAnsi="Century Gothic"/>
                <w:sz w:val="20"/>
              </w:rPr>
              <w:t xml:space="preserve">Received </w:t>
            </w:r>
          </w:p>
          <w:p w14:paraId="21039AF7" w14:textId="77777777" w:rsidR="00E0217E" w:rsidRPr="00BB3F74" w:rsidRDefault="002E5A72" w:rsidP="006E2E32">
            <w:pPr>
              <w:jc w:val="right"/>
              <w:rPr>
                <w:rFonts w:ascii="Century Gothic" w:hAnsi="Century Gothic"/>
                <w:i/>
                <w:sz w:val="20"/>
              </w:rPr>
            </w:pPr>
            <w:r>
              <w:rPr>
                <w:rFonts w:ascii="Century Gothic" w:hAnsi="Century Gothic"/>
                <w:i/>
                <w:sz w:val="20"/>
              </w:rPr>
              <w:t>X</w:t>
            </w:r>
            <w:r w:rsidR="00AD70D0" w:rsidRPr="00BB3F74">
              <w:rPr>
                <w:rFonts w:ascii="Century Gothic" w:hAnsi="Century Gothic"/>
                <w:i/>
                <w:sz w:val="20"/>
              </w:rPr>
              <w:t xml:space="preserve"> </w:t>
            </w:r>
            <w:r>
              <w:rPr>
                <w:rFonts w:ascii="Century Gothic" w:hAnsi="Century Gothic"/>
                <w:i/>
                <w:sz w:val="20"/>
              </w:rPr>
              <w:t>Month</w:t>
            </w:r>
            <w:r w:rsidR="00AD70D0"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14:paraId="225CA922" w14:textId="77777777" w:rsidR="00E0217E" w:rsidRPr="00BB3F74" w:rsidRDefault="00E0217E" w:rsidP="006E2E32">
            <w:pPr>
              <w:jc w:val="right"/>
              <w:rPr>
                <w:rFonts w:ascii="Century Gothic" w:hAnsi="Century Gothic"/>
                <w:sz w:val="20"/>
              </w:rPr>
            </w:pPr>
            <w:r w:rsidRPr="00BB3F74">
              <w:rPr>
                <w:rFonts w:ascii="Century Gothic" w:hAnsi="Century Gothic"/>
                <w:sz w:val="20"/>
              </w:rPr>
              <w:t xml:space="preserve">Received in revised form </w:t>
            </w:r>
          </w:p>
          <w:p w14:paraId="57D1480E" w14:textId="77777777" w:rsidR="00E0217E" w:rsidRPr="00BB3F74" w:rsidRDefault="002E5A72" w:rsidP="006E2E32">
            <w:pPr>
              <w:jc w:val="right"/>
              <w:rPr>
                <w:rFonts w:ascii="Century Gothic" w:hAnsi="Century Gothic"/>
                <w:i/>
                <w:sz w:val="20"/>
              </w:rPr>
            </w:pPr>
            <w:r>
              <w:rPr>
                <w:rFonts w:ascii="Century Gothic" w:hAnsi="Century Gothic"/>
                <w:i/>
                <w:sz w:val="20"/>
              </w:rPr>
              <w:t>XA</w:t>
            </w:r>
            <w:r w:rsidRPr="00BB3F74">
              <w:rPr>
                <w:rFonts w:ascii="Century Gothic" w:hAnsi="Century Gothic"/>
                <w:i/>
                <w:sz w:val="20"/>
              </w:rPr>
              <w:t xml:space="preserve"> </w:t>
            </w:r>
            <w:r>
              <w:rPr>
                <w:rFonts w:ascii="Century Gothic" w:hAnsi="Century Gothic"/>
                <w:i/>
                <w:sz w:val="20"/>
              </w:rPr>
              <w:t>Month</w:t>
            </w:r>
            <w:r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14:paraId="12C61E99" w14:textId="77777777" w:rsidR="00E0217E" w:rsidRPr="00BB3F74" w:rsidRDefault="00E0217E" w:rsidP="006E2E32">
            <w:pPr>
              <w:jc w:val="right"/>
              <w:rPr>
                <w:rFonts w:ascii="Century Gothic" w:hAnsi="Century Gothic"/>
                <w:sz w:val="20"/>
              </w:rPr>
            </w:pPr>
            <w:r w:rsidRPr="00BB3F74">
              <w:rPr>
                <w:rFonts w:ascii="Century Gothic" w:hAnsi="Century Gothic"/>
                <w:sz w:val="20"/>
              </w:rPr>
              <w:t xml:space="preserve">Accepted </w:t>
            </w:r>
          </w:p>
          <w:p w14:paraId="5590A16E" w14:textId="77777777" w:rsidR="00E0217E" w:rsidRPr="00BB3F74" w:rsidRDefault="002E5A72" w:rsidP="006E2E32">
            <w:pPr>
              <w:jc w:val="right"/>
              <w:rPr>
                <w:rFonts w:ascii="Century Gothic" w:hAnsi="Century Gothic"/>
                <w:i/>
                <w:sz w:val="20"/>
              </w:rPr>
            </w:pPr>
            <w:r>
              <w:rPr>
                <w:rFonts w:ascii="Century Gothic" w:hAnsi="Century Gothic"/>
                <w:i/>
                <w:sz w:val="20"/>
              </w:rPr>
              <w:t>XB</w:t>
            </w:r>
            <w:r w:rsidRPr="00BB3F74">
              <w:rPr>
                <w:rFonts w:ascii="Century Gothic" w:hAnsi="Century Gothic"/>
                <w:i/>
                <w:sz w:val="20"/>
              </w:rPr>
              <w:t xml:space="preserve"> </w:t>
            </w:r>
            <w:r>
              <w:rPr>
                <w:rFonts w:ascii="Century Gothic" w:hAnsi="Century Gothic"/>
                <w:i/>
                <w:sz w:val="20"/>
              </w:rPr>
              <w:t>Month</w:t>
            </w:r>
            <w:r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14:paraId="288DEE9A" w14:textId="77777777" w:rsidR="00E0217E" w:rsidRPr="00BB3F74" w:rsidRDefault="00E0217E" w:rsidP="006E2E32">
            <w:pPr>
              <w:jc w:val="right"/>
              <w:rPr>
                <w:rFonts w:ascii="Century Gothic" w:hAnsi="Century Gothic"/>
              </w:rPr>
            </w:pPr>
          </w:p>
          <w:p w14:paraId="6807442A" w14:textId="77777777" w:rsidR="00E0217E" w:rsidRPr="00BB3F74" w:rsidRDefault="00E0217E" w:rsidP="006E2E32">
            <w:pPr>
              <w:jc w:val="right"/>
              <w:rPr>
                <w:rFonts w:ascii="Century Gothic" w:hAnsi="Century Gothic"/>
              </w:rPr>
            </w:pPr>
            <w:r w:rsidRPr="00BB3F74">
              <w:rPr>
                <w:rFonts w:ascii="Century Gothic" w:hAnsi="Century Gothic"/>
              </w:rPr>
              <w:t>*Corresponding author</w:t>
            </w:r>
          </w:p>
          <w:p w14:paraId="79CEDE44" w14:textId="742D7544" w:rsidR="00E0217E" w:rsidRDefault="00B54586" w:rsidP="006E2E32">
            <w:pPr>
              <w:jc w:val="right"/>
              <w:rPr>
                <w:rFonts w:ascii="Century Gothic" w:hAnsi="Century Gothic"/>
              </w:rPr>
            </w:pPr>
            <w:hyperlink r:id="rId8" w:history="1">
              <w:r w:rsidRPr="00D037B2">
                <w:rPr>
                  <w:rStyle w:val="Hyperlink"/>
                  <w:rFonts w:ascii="Century Gothic" w:hAnsi="Century Gothic" w:cs="Segoe UI"/>
                  <w:shd w:val="clear" w:color="auto" w:fill="FFFFFF"/>
                </w:rPr>
                <w:t>elly.pusporani@fst.unair.ac.id</w:t>
              </w:r>
            </w:hyperlink>
            <w:r>
              <w:rPr>
                <w:rFonts w:ascii="Century Gothic" w:hAnsi="Century Gothic" w:cs="Segoe UI"/>
                <w:shd w:val="clear" w:color="auto" w:fill="FFFFFF"/>
              </w:rPr>
              <w:t xml:space="preserve"> </w:t>
            </w:r>
          </w:p>
          <w:p w14:paraId="1031BCD5" w14:textId="2C176BB6" w:rsidR="00967D83" w:rsidRPr="00967D83" w:rsidRDefault="00967D83" w:rsidP="006E2E32">
            <w:pPr>
              <w:jc w:val="right"/>
              <w:rPr>
                <w:rFonts w:ascii="Century Gothic" w:hAnsi="Century Gothic"/>
                <w:sz w:val="16"/>
                <w:szCs w:val="16"/>
              </w:rPr>
            </w:pPr>
          </w:p>
        </w:tc>
      </w:tr>
      <w:tr w:rsidR="004D671D" w:rsidRPr="003A259F" w14:paraId="0ACD1177" w14:textId="77777777" w:rsidTr="003B1B71">
        <w:trPr>
          <w:trHeight w:val="204"/>
          <w:jc w:val="center"/>
        </w:trPr>
        <w:tc>
          <w:tcPr>
            <w:tcW w:w="10052" w:type="dxa"/>
            <w:gridSpan w:val="5"/>
            <w:tcBorders>
              <w:top w:val="single" w:sz="4" w:space="0" w:color="943634"/>
            </w:tcBorders>
          </w:tcPr>
          <w:p w14:paraId="50027EF3" w14:textId="77777777" w:rsidR="004D671D" w:rsidRPr="00BB3F74" w:rsidRDefault="004D671D" w:rsidP="006E2E32">
            <w:pPr>
              <w:jc w:val="right"/>
              <w:rPr>
                <w:rFonts w:ascii="Century Gothic" w:hAnsi="Century Gothic"/>
                <w:b/>
                <w:sz w:val="2"/>
                <w:szCs w:val="2"/>
              </w:rPr>
            </w:pPr>
          </w:p>
        </w:tc>
      </w:tr>
      <w:tr w:rsidR="00CD38C6" w:rsidRPr="003A259F" w14:paraId="00063D9C" w14:textId="77777777" w:rsidTr="00D96FC3">
        <w:trPr>
          <w:trHeight w:val="2276"/>
          <w:jc w:val="center"/>
        </w:trPr>
        <w:tc>
          <w:tcPr>
            <w:tcW w:w="3877" w:type="dxa"/>
            <w:gridSpan w:val="2"/>
            <w:vMerge w:val="restart"/>
          </w:tcPr>
          <w:p w14:paraId="7823A5E5" w14:textId="6F358852" w:rsidR="00CD38C6" w:rsidRDefault="00CD38C6" w:rsidP="006E2E32">
            <w:pPr>
              <w:jc w:val="center"/>
              <w:rPr>
                <w:rFonts w:ascii="Century Gothic" w:hAnsi="Century Gothic" w:cs="Times"/>
                <w:b/>
                <w:szCs w:val="22"/>
              </w:rPr>
            </w:pPr>
            <w:r w:rsidRPr="00BB3F74">
              <w:rPr>
                <w:rFonts w:ascii="Century Gothic" w:hAnsi="Century Gothic" w:cs="Times"/>
                <w:b/>
                <w:szCs w:val="22"/>
              </w:rPr>
              <w:t>Graphical abstract</w:t>
            </w:r>
          </w:p>
          <w:p w14:paraId="46B66C75" w14:textId="77777777" w:rsidR="003837B0" w:rsidRPr="00BB3F74" w:rsidRDefault="003837B0" w:rsidP="006E2E32">
            <w:pPr>
              <w:jc w:val="center"/>
              <w:rPr>
                <w:rFonts w:ascii="Century Gothic" w:hAnsi="Century Gothic" w:cs="Times"/>
                <w:b/>
                <w:szCs w:val="22"/>
              </w:rPr>
            </w:pPr>
          </w:p>
          <w:p w14:paraId="0AA02DB8" w14:textId="08D9A288" w:rsidR="00CD38C6" w:rsidRPr="00BB3F74" w:rsidRDefault="003837B0" w:rsidP="006E2E32">
            <w:pPr>
              <w:rPr>
                <w:rFonts w:ascii="Century Gothic" w:hAnsi="Century Gothic" w:cs="Times"/>
                <w:sz w:val="16"/>
                <w:szCs w:val="16"/>
              </w:rPr>
            </w:pPr>
            <w:r>
              <w:rPr>
                <w:noProof/>
              </w:rPr>
              <w:drawing>
                <wp:inline distT="0" distB="0" distL="0" distR="0" wp14:anchorId="0DDF2D38" wp14:editId="2825FF99">
                  <wp:extent cx="2301368" cy="1600030"/>
                  <wp:effectExtent l="0" t="0" r="0" b="635"/>
                  <wp:docPr id="581073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269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5630" cy="1602993"/>
                          </a:xfrm>
                          <a:prstGeom prst="rect">
                            <a:avLst/>
                          </a:prstGeom>
                        </pic:spPr>
                      </pic:pic>
                    </a:graphicData>
                  </a:graphic>
                </wp:inline>
              </w:drawing>
            </w:r>
          </w:p>
          <w:p w14:paraId="3E069222" w14:textId="48D90329" w:rsidR="00CD38C6" w:rsidRDefault="00CD38C6" w:rsidP="006E2E32">
            <w:pPr>
              <w:jc w:val="center"/>
              <w:rPr>
                <w:rFonts w:ascii="Times New Roman" w:hAnsi="Times New Roman"/>
                <w:noProof/>
                <w:lang w:val="ms-MY" w:eastAsia="ms-MY"/>
              </w:rPr>
            </w:pPr>
          </w:p>
          <w:p w14:paraId="1D20F53A" w14:textId="5AE59C52" w:rsidR="00725152" w:rsidRDefault="00725152" w:rsidP="006E2E32">
            <w:pPr>
              <w:jc w:val="center"/>
              <w:rPr>
                <w:rFonts w:ascii="Times New Roman" w:hAnsi="Times New Roman"/>
                <w:noProof/>
                <w:lang w:val="ms-MY" w:eastAsia="ms-MY"/>
              </w:rPr>
            </w:pPr>
          </w:p>
          <w:p w14:paraId="1B411C12" w14:textId="173FE24F" w:rsidR="008D1BD5" w:rsidRPr="00BB3F74" w:rsidRDefault="008D1BD5" w:rsidP="006E2E32">
            <w:pPr>
              <w:ind w:left="284"/>
              <w:rPr>
                <w:rFonts w:ascii="Century Gothic" w:hAnsi="Century Gothic"/>
                <w:b/>
                <w:smallCaps/>
                <w:sz w:val="36"/>
              </w:rPr>
            </w:pPr>
          </w:p>
        </w:tc>
        <w:tc>
          <w:tcPr>
            <w:tcW w:w="6175" w:type="dxa"/>
            <w:gridSpan w:val="3"/>
            <w:shd w:val="clear" w:color="auto" w:fill="FBD4B4"/>
          </w:tcPr>
          <w:p w14:paraId="2BDEAABE" w14:textId="77777777" w:rsidR="00CD38C6" w:rsidRPr="003B1B71" w:rsidRDefault="00CD38C6" w:rsidP="006E2E32">
            <w:pPr>
              <w:rPr>
                <w:rFonts w:ascii="Century Gothic" w:hAnsi="Century Gothic" w:cs="Times"/>
                <w:b/>
                <w:sz w:val="16"/>
                <w:szCs w:val="16"/>
              </w:rPr>
            </w:pPr>
            <w:r w:rsidRPr="003B1B71">
              <w:rPr>
                <w:rFonts w:ascii="Century Gothic" w:hAnsi="Century Gothic" w:cs="Times"/>
                <w:b/>
                <w:sz w:val="16"/>
                <w:szCs w:val="16"/>
              </w:rPr>
              <w:t>Abstract</w:t>
            </w:r>
          </w:p>
          <w:p w14:paraId="4522A5EF" w14:textId="5EFCA6E9" w:rsidR="00E4131F" w:rsidRPr="00256796" w:rsidRDefault="003B1B71" w:rsidP="006E2E32">
            <w:pPr>
              <w:pStyle w:val="NormalWeb"/>
              <w:jc w:val="both"/>
              <w:rPr>
                <w:color w:val="000000"/>
              </w:rPr>
            </w:pPr>
            <w:r w:rsidRPr="003B1B71">
              <w:rPr>
                <w:rFonts w:ascii="Century Gothic" w:hAnsi="Century Gothic"/>
                <w:color w:val="000000"/>
                <w:sz w:val="16"/>
                <w:szCs w:val="16"/>
              </w:rPr>
              <w:t>T</w:t>
            </w:r>
            <w:r w:rsidR="00BA02F3" w:rsidRPr="00BA02F3">
              <w:rPr>
                <w:rFonts w:ascii="Century Gothic" w:hAnsi="Century Gothic"/>
                <w:color w:val="000000"/>
                <w:sz w:val="16"/>
                <w:szCs w:val="16"/>
              </w:rPr>
              <w:t xml:space="preserve">his study </w:t>
            </w:r>
            <w:proofErr w:type="spellStart"/>
            <w:r w:rsidR="00BA02F3" w:rsidRPr="00BA02F3">
              <w:rPr>
                <w:rFonts w:ascii="Century Gothic" w:hAnsi="Century Gothic"/>
                <w:color w:val="000000"/>
                <w:sz w:val="16"/>
                <w:szCs w:val="16"/>
              </w:rPr>
              <w:t>analyzes</w:t>
            </w:r>
            <w:proofErr w:type="spellEnd"/>
            <w:r w:rsidR="00BA02F3" w:rsidRPr="00BA02F3">
              <w:rPr>
                <w:rFonts w:ascii="Century Gothic" w:hAnsi="Century Gothic"/>
                <w:color w:val="000000"/>
                <w:sz w:val="16"/>
                <w:szCs w:val="16"/>
              </w:rPr>
              <w:t xml:space="preserve"> the forecasting of PT Vale Indonesia </w:t>
            </w:r>
            <w:proofErr w:type="spellStart"/>
            <w:r w:rsidR="00BA02F3" w:rsidRPr="00BA02F3">
              <w:rPr>
                <w:rFonts w:ascii="Century Gothic" w:hAnsi="Century Gothic"/>
                <w:color w:val="000000"/>
                <w:sz w:val="16"/>
                <w:szCs w:val="16"/>
              </w:rPr>
              <w:t>Tbk</w:t>
            </w:r>
            <w:proofErr w:type="spellEnd"/>
            <w:r w:rsidR="00BA02F3" w:rsidRPr="00BA02F3">
              <w:rPr>
                <w:rFonts w:ascii="Century Gothic" w:hAnsi="Century Gothic"/>
                <w:color w:val="000000"/>
                <w:sz w:val="16"/>
                <w:szCs w:val="16"/>
              </w:rPr>
              <w:t xml:space="preserve"> (INCO) stock prices, which are influenced by global nickel price dynamics and Indonesia’s nickel export ban policy, which triggers structural changes in the time series data. The main issue lies in the limitations of linear models such as ARIMA in capturing the nonlinearity and heteroscedasticity commonly found in stock market data. Therefore, this study compares the performance of the ARIMA model with step function intervention and Support Vector Regression with an intervention dummy variable (SVRX) within an out-of-sample evaluation framework using MAE, RMSE, and MAPE metrics. The results show that the ARIMA intervention model (0,2,1) with r=2 yields a MAPE of 22.2% (low accuracy), while the SVRX model with a sigmoid kernel achieves an RMSE of 271.494 and a MAPE of 3.327% (highly accurate), indicating an accuracy improvement of over 80% compared to the ARIMA model. These findings suggest that SVRX is more effective at capturing nonlinear patterns and shifts in patterns caused by policy interventions. Therefore, a Support Vector Regression-based model incorporating interventions is recommended for forecasting stock prices with complex structural characteristics, such as those of PT Vale </w:t>
            </w:r>
            <w:proofErr w:type="spellStart"/>
            <w:r w:rsidR="00BA02F3" w:rsidRPr="00BA02F3">
              <w:rPr>
                <w:rFonts w:ascii="Century Gothic" w:hAnsi="Century Gothic"/>
                <w:color w:val="000000"/>
                <w:sz w:val="16"/>
                <w:szCs w:val="16"/>
              </w:rPr>
              <w:t>Tbk</w:t>
            </w:r>
            <w:proofErr w:type="spellEnd"/>
            <w:r w:rsidR="00BA02F3" w:rsidRPr="00BA02F3">
              <w:rPr>
                <w:rFonts w:ascii="Century Gothic" w:hAnsi="Century Gothic"/>
                <w:color w:val="000000"/>
                <w:sz w:val="16"/>
                <w:szCs w:val="16"/>
              </w:rPr>
              <w:t xml:space="preserve"> or INCO.</w:t>
            </w:r>
            <w:r w:rsidR="00BA02F3" w:rsidRPr="00BA02F3">
              <w:rPr>
                <w:color w:val="000000"/>
              </w:rPr>
              <w:t xml:space="preserve"> </w:t>
            </w:r>
          </w:p>
          <w:p w14:paraId="5D449897" w14:textId="77777777" w:rsidR="00CD38C6" w:rsidRPr="003B1B71" w:rsidRDefault="00CD38C6" w:rsidP="006E2E32">
            <w:pPr>
              <w:rPr>
                <w:rFonts w:ascii="Century Gothic" w:hAnsi="Century Gothic" w:cs="Times"/>
                <w:sz w:val="16"/>
                <w:szCs w:val="16"/>
              </w:rPr>
            </w:pPr>
          </w:p>
          <w:p w14:paraId="2B9EBFBC" w14:textId="015762F5" w:rsidR="00E4131F" w:rsidRPr="003B1B71" w:rsidRDefault="00CD38C6" w:rsidP="006E2E32">
            <w:pPr>
              <w:rPr>
                <w:rFonts w:ascii="Century Gothic" w:hAnsi="Century Gothic" w:cs="Times"/>
                <w:sz w:val="16"/>
                <w:szCs w:val="16"/>
              </w:rPr>
            </w:pPr>
            <w:r w:rsidRPr="003B1B71">
              <w:rPr>
                <w:rFonts w:ascii="Century Gothic" w:hAnsi="Century Gothic" w:cs="Times"/>
                <w:i/>
                <w:sz w:val="16"/>
                <w:szCs w:val="16"/>
              </w:rPr>
              <w:t>Keywords</w:t>
            </w:r>
            <w:r w:rsidRPr="003B1B71">
              <w:rPr>
                <w:rFonts w:ascii="Century Gothic" w:hAnsi="Century Gothic" w:cs="Times"/>
                <w:sz w:val="16"/>
                <w:szCs w:val="16"/>
              </w:rPr>
              <w:t xml:space="preserve">: </w:t>
            </w:r>
            <w:r w:rsidR="003B1B71">
              <w:rPr>
                <w:rFonts w:ascii="Century Gothic" w:hAnsi="Century Gothic"/>
                <w:color w:val="000000"/>
                <w:sz w:val="16"/>
                <w:szCs w:val="16"/>
              </w:rPr>
              <w:t>T</w:t>
            </w:r>
            <w:r w:rsidR="003B1B71" w:rsidRPr="003B1B71">
              <w:rPr>
                <w:rFonts w:ascii="Century Gothic" w:hAnsi="Century Gothic"/>
                <w:color w:val="000000"/>
                <w:sz w:val="16"/>
                <w:szCs w:val="16"/>
              </w:rPr>
              <w:t xml:space="preserve">ime </w:t>
            </w:r>
            <w:r w:rsidR="003B1B71">
              <w:rPr>
                <w:rFonts w:ascii="Century Gothic" w:hAnsi="Century Gothic"/>
                <w:color w:val="000000"/>
                <w:sz w:val="16"/>
                <w:szCs w:val="16"/>
              </w:rPr>
              <w:t>S</w:t>
            </w:r>
            <w:r w:rsidR="003B1B71" w:rsidRPr="003B1B71">
              <w:rPr>
                <w:rFonts w:ascii="Century Gothic" w:hAnsi="Century Gothic"/>
                <w:color w:val="000000"/>
                <w:sz w:val="16"/>
                <w:szCs w:val="16"/>
              </w:rPr>
              <w:t xml:space="preserve">eries </w:t>
            </w:r>
            <w:r w:rsidR="003B1B71">
              <w:rPr>
                <w:rFonts w:ascii="Century Gothic" w:hAnsi="Century Gothic"/>
                <w:color w:val="000000"/>
                <w:sz w:val="16"/>
                <w:szCs w:val="16"/>
              </w:rPr>
              <w:t>F</w:t>
            </w:r>
            <w:r w:rsidR="003B1B71" w:rsidRPr="003B1B71">
              <w:rPr>
                <w:rFonts w:ascii="Century Gothic" w:hAnsi="Century Gothic"/>
                <w:color w:val="000000"/>
                <w:sz w:val="16"/>
                <w:szCs w:val="16"/>
              </w:rPr>
              <w:t>orecasting</w:t>
            </w:r>
            <w:r w:rsidR="003B1B71">
              <w:rPr>
                <w:rFonts w:ascii="Century Gothic" w:hAnsi="Century Gothic"/>
                <w:color w:val="000000"/>
                <w:sz w:val="16"/>
                <w:szCs w:val="16"/>
              </w:rPr>
              <w:t xml:space="preserve">; </w:t>
            </w:r>
            <w:r w:rsidR="003B1B71" w:rsidRPr="003B1B71">
              <w:rPr>
                <w:rFonts w:ascii="Century Gothic" w:hAnsi="Century Gothic"/>
                <w:color w:val="000000"/>
                <w:sz w:val="16"/>
                <w:szCs w:val="16"/>
              </w:rPr>
              <w:t xml:space="preserve">ARIMA </w:t>
            </w:r>
            <w:r w:rsidR="003B1B71">
              <w:rPr>
                <w:rFonts w:ascii="Century Gothic" w:hAnsi="Century Gothic"/>
                <w:color w:val="000000"/>
                <w:sz w:val="16"/>
                <w:szCs w:val="16"/>
              </w:rPr>
              <w:t>I</w:t>
            </w:r>
            <w:r w:rsidR="003B1B71" w:rsidRPr="003B1B71">
              <w:rPr>
                <w:rFonts w:ascii="Century Gothic" w:hAnsi="Century Gothic"/>
                <w:color w:val="000000"/>
                <w:sz w:val="16"/>
                <w:szCs w:val="16"/>
              </w:rPr>
              <w:t xml:space="preserve">ntervention </w:t>
            </w:r>
            <w:r w:rsidR="003B1B71">
              <w:rPr>
                <w:rFonts w:ascii="Century Gothic" w:hAnsi="Century Gothic"/>
                <w:color w:val="000000"/>
                <w:sz w:val="16"/>
                <w:szCs w:val="16"/>
              </w:rPr>
              <w:t>M</w:t>
            </w:r>
            <w:r w:rsidR="003B1B71" w:rsidRPr="003B1B71">
              <w:rPr>
                <w:rFonts w:ascii="Century Gothic" w:hAnsi="Century Gothic"/>
                <w:color w:val="000000"/>
                <w:sz w:val="16"/>
                <w:szCs w:val="16"/>
              </w:rPr>
              <w:t xml:space="preserve">odel; </w:t>
            </w:r>
            <w:r w:rsidR="003B1B71">
              <w:rPr>
                <w:rFonts w:ascii="Century Gothic" w:hAnsi="Century Gothic"/>
                <w:color w:val="000000"/>
                <w:sz w:val="16"/>
                <w:szCs w:val="16"/>
              </w:rPr>
              <w:t>S</w:t>
            </w:r>
            <w:r w:rsidR="003B1B71" w:rsidRPr="003B1B71">
              <w:rPr>
                <w:rFonts w:ascii="Century Gothic" w:hAnsi="Century Gothic"/>
                <w:color w:val="000000"/>
                <w:sz w:val="16"/>
                <w:szCs w:val="16"/>
              </w:rPr>
              <w:t xml:space="preserve">upport </w:t>
            </w:r>
            <w:r w:rsidR="003B1B71">
              <w:rPr>
                <w:rFonts w:ascii="Century Gothic" w:hAnsi="Century Gothic"/>
                <w:color w:val="000000"/>
                <w:sz w:val="16"/>
                <w:szCs w:val="16"/>
              </w:rPr>
              <w:t>V</w:t>
            </w:r>
            <w:r w:rsidR="003B1B71" w:rsidRPr="003B1B71">
              <w:rPr>
                <w:rFonts w:ascii="Century Gothic" w:hAnsi="Century Gothic"/>
                <w:color w:val="000000"/>
                <w:sz w:val="16"/>
                <w:szCs w:val="16"/>
              </w:rPr>
              <w:t xml:space="preserve">ector </w:t>
            </w:r>
            <w:r w:rsidR="003B1B71">
              <w:rPr>
                <w:rFonts w:ascii="Century Gothic" w:hAnsi="Century Gothic"/>
                <w:color w:val="000000"/>
                <w:sz w:val="16"/>
                <w:szCs w:val="16"/>
              </w:rPr>
              <w:t>R</w:t>
            </w:r>
            <w:r w:rsidR="003B1B71" w:rsidRPr="003B1B71">
              <w:rPr>
                <w:rFonts w:ascii="Century Gothic" w:hAnsi="Century Gothic"/>
                <w:color w:val="000000"/>
                <w:sz w:val="16"/>
                <w:szCs w:val="16"/>
              </w:rPr>
              <w:t>egression</w:t>
            </w:r>
            <w:r w:rsidR="003B1B71">
              <w:rPr>
                <w:rFonts w:ascii="Century Gothic" w:hAnsi="Century Gothic"/>
                <w:color w:val="000000"/>
                <w:sz w:val="16"/>
                <w:szCs w:val="16"/>
              </w:rPr>
              <w:t xml:space="preserve">-X </w:t>
            </w:r>
            <w:r w:rsidR="003B1B71" w:rsidRPr="003B1B71">
              <w:rPr>
                <w:rFonts w:ascii="Century Gothic" w:hAnsi="Century Gothic"/>
                <w:color w:val="000000"/>
                <w:sz w:val="16"/>
                <w:szCs w:val="16"/>
              </w:rPr>
              <w:t xml:space="preserve">(SVRX); </w:t>
            </w:r>
            <w:r w:rsidR="003B1B71">
              <w:rPr>
                <w:rFonts w:ascii="Century Gothic" w:hAnsi="Century Gothic"/>
                <w:color w:val="000000"/>
                <w:sz w:val="16"/>
                <w:szCs w:val="16"/>
              </w:rPr>
              <w:t>INCO</w:t>
            </w:r>
            <w:r w:rsidR="003B1B71" w:rsidRPr="003B1B71">
              <w:rPr>
                <w:rFonts w:ascii="Century Gothic" w:hAnsi="Century Gothic"/>
                <w:color w:val="000000"/>
                <w:sz w:val="16"/>
                <w:szCs w:val="16"/>
              </w:rPr>
              <w:t xml:space="preserve">; </w:t>
            </w:r>
            <w:r w:rsidR="003B1B71">
              <w:rPr>
                <w:rFonts w:ascii="Century Gothic" w:hAnsi="Century Gothic"/>
                <w:color w:val="000000"/>
                <w:sz w:val="16"/>
                <w:szCs w:val="16"/>
              </w:rPr>
              <w:t>Nickle Stocks</w:t>
            </w:r>
          </w:p>
          <w:p w14:paraId="042E51D6" w14:textId="77777777" w:rsidR="00CD38C6" w:rsidRPr="003B1B71" w:rsidRDefault="00CD38C6" w:rsidP="006E2E32">
            <w:pPr>
              <w:rPr>
                <w:rFonts w:ascii="Century Gothic" w:hAnsi="Century Gothic"/>
                <w:b/>
                <w:sz w:val="16"/>
                <w:szCs w:val="16"/>
              </w:rPr>
            </w:pPr>
          </w:p>
        </w:tc>
      </w:tr>
      <w:tr w:rsidR="003B1B71" w:rsidRPr="003A259F" w14:paraId="70B5CE23" w14:textId="77777777" w:rsidTr="003B1B71">
        <w:trPr>
          <w:trHeight w:val="2243"/>
          <w:jc w:val="center"/>
        </w:trPr>
        <w:tc>
          <w:tcPr>
            <w:tcW w:w="3877" w:type="dxa"/>
            <w:gridSpan w:val="2"/>
            <w:vMerge/>
          </w:tcPr>
          <w:p w14:paraId="0A764C5D" w14:textId="77777777" w:rsidR="003B1B71" w:rsidRPr="00BB3F74" w:rsidRDefault="003B1B71" w:rsidP="006E2E32">
            <w:pPr>
              <w:rPr>
                <w:rFonts w:ascii="Century Gothic" w:hAnsi="Century Gothic" w:cs="Times"/>
                <w:b/>
                <w:sz w:val="16"/>
                <w:szCs w:val="16"/>
              </w:rPr>
            </w:pPr>
          </w:p>
        </w:tc>
        <w:tc>
          <w:tcPr>
            <w:tcW w:w="6175" w:type="dxa"/>
            <w:gridSpan w:val="3"/>
            <w:shd w:val="clear" w:color="auto" w:fill="FBD4B4"/>
            <w:vAlign w:val="bottom"/>
          </w:tcPr>
          <w:p w14:paraId="43BACF77" w14:textId="1008C339" w:rsidR="00D96FC3" w:rsidRPr="00D96FC3" w:rsidRDefault="003B1B71" w:rsidP="006E2E32">
            <w:pPr>
              <w:rPr>
                <w:rFonts w:ascii="Century Gothic" w:hAnsi="Century Gothic" w:cs="Times"/>
                <w:sz w:val="16"/>
                <w:szCs w:val="16"/>
              </w:rPr>
            </w:pPr>
            <w:r w:rsidRPr="00BB3F74">
              <w:rPr>
                <w:rFonts w:ascii="Century Gothic" w:hAnsi="Century Gothic" w:cs="Times"/>
                <w:sz w:val="16"/>
                <w:szCs w:val="16"/>
              </w:rPr>
              <w:t>© 20</w:t>
            </w:r>
            <w:r>
              <w:rPr>
                <w:rFonts w:ascii="Century Gothic" w:hAnsi="Century Gothic" w:cs="Times"/>
                <w:sz w:val="16"/>
                <w:szCs w:val="16"/>
              </w:rPr>
              <w:t>2@</w:t>
            </w:r>
            <w:r w:rsidRPr="00BB3F74">
              <w:rPr>
                <w:rFonts w:ascii="Century Gothic" w:hAnsi="Century Gothic" w:cs="Times"/>
                <w:sz w:val="16"/>
                <w:szCs w:val="16"/>
              </w:rPr>
              <w:t xml:space="preserve"> </w:t>
            </w:r>
            <w:proofErr w:type="spellStart"/>
            <w:r w:rsidRPr="00BB3F74">
              <w:rPr>
                <w:rFonts w:ascii="Century Gothic" w:hAnsi="Century Gothic" w:cs="Times"/>
                <w:sz w:val="16"/>
                <w:szCs w:val="16"/>
              </w:rPr>
              <w:t>Penerbit</w:t>
            </w:r>
            <w:proofErr w:type="spellEnd"/>
            <w:r w:rsidRPr="00BB3F74">
              <w:rPr>
                <w:rFonts w:ascii="Century Gothic" w:hAnsi="Century Gothic" w:cs="Times"/>
                <w:sz w:val="16"/>
                <w:szCs w:val="16"/>
              </w:rPr>
              <w:t xml:space="preserve"> UTM Press. All rights reserved</w:t>
            </w:r>
          </w:p>
        </w:tc>
      </w:tr>
      <w:tr w:rsidR="003B1B71" w:rsidRPr="003A259F" w14:paraId="61E36004" w14:textId="77777777" w:rsidTr="00D96FC3">
        <w:trPr>
          <w:trHeight w:val="348"/>
          <w:jc w:val="center"/>
        </w:trPr>
        <w:tc>
          <w:tcPr>
            <w:tcW w:w="3877" w:type="dxa"/>
            <w:gridSpan w:val="2"/>
            <w:vMerge/>
          </w:tcPr>
          <w:p w14:paraId="09B2009D" w14:textId="77777777" w:rsidR="003B1B71" w:rsidRPr="00BB3F74" w:rsidRDefault="003B1B71" w:rsidP="006E2E32">
            <w:pPr>
              <w:rPr>
                <w:rFonts w:ascii="Century Gothic" w:hAnsi="Century Gothic" w:cs="Times"/>
                <w:b/>
                <w:sz w:val="16"/>
                <w:szCs w:val="16"/>
              </w:rPr>
            </w:pPr>
          </w:p>
        </w:tc>
        <w:tc>
          <w:tcPr>
            <w:tcW w:w="6175" w:type="dxa"/>
            <w:gridSpan w:val="3"/>
            <w:vAlign w:val="bottom"/>
          </w:tcPr>
          <w:p w14:paraId="0CCE5018" w14:textId="147BB865" w:rsidR="003B1B71" w:rsidRPr="00BB3F74" w:rsidRDefault="003B1B71" w:rsidP="006E2E32">
            <w:pPr>
              <w:rPr>
                <w:rFonts w:ascii="Century Gothic" w:hAnsi="Century Gothic" w:cs="Times"/>
                <w:b/>
                <w:sz w:val="16"/>
                <w:szCs w:val="16"/>
              </w:rPr>
            </w:pPr>
          </w:p>
        </w:tc>
      </w:tr>
      <w:tr w:rsidR="003B1B71" w:rsidRPr="003A259F" w14:paraId="5D0F12EB" w14:textId="77777777" w:rsidTr="00D96FC3">
        <w:trPr>
          <w:trHeight w:val="101"/>
          <w:jc w:val="center"/>
        </w:trPr>
        <w:tc>
          <w:tcPr>
            <w:tcW w:w="3877" w:type="dxa"/>
            <w:gridSpan w:val="2"/>
            <w:tcBorders>
              <w:bottom w:val="single" w:sz="4" w:space="0" w:color="943634"/>
            </w:tcBorders>
          </w:tcPr>
          <w:p w14:paraId="6AE7553D" w14:textId="77777777" w:rsidR="003B1B71" w:rsidRPr="00BB3F74" w:rsidRDefault="003B1B71" w:rsidP="006E2E32">
            <w:pPr>
              <w:rPr>
                <w:rFonts w:ascii="Century Gothic" w:hAnsi="Century Gothic" w:cs="Times"/>
                <w:b/>
                <w:sz w:val="16"/>
                <w:szCs w:val="16"/>
              </w:rPr>
            </w:pPr>
          </w:p>
        </w:tc>
        <w:tc>
          <w:tcPr>
            <w:tcW w:w="6175" w:type="dxa"/>
            <w:gridSpan w:val="3"/>
            <w:tcBorders>
              <w:bottom w:val="single" w:sz="4" w:space="0" w:color="943634"/>
            </w:tcBorders>
            <w:vAlign w:val="bottom"/>
          </w:tcPr>
          <w:p w14:paraId="47BDF28E" w14:textId="77777777" w:rsidR="003B1B71" w:rsidRPr="00BB3F74" w:rsidRDefault="003B1B71" w:rsidP="006E2E32">
            <w:pPr>
              <w:jc w:val="right"/>
              <w:rPr>
                <w:rFonts w:ascii="Century Gothic" w:hAnsi="Century Gothic" w:cs="Times"/>
                <w:sz w:val="16"/>
                <w:szCs w:val="16"/>
              </w:rPr>
            </w:pPr>
          </w:p>
        </w:tc>
      </w:tr>
    </w:tbl>
    <w:p w14:paraId="390BF102" w14:textId="77777777" w:rsidR="001417C9" w:rsidRPr="003A259F" w:rsidRDefault="001417C9" w:rsidP="006E2E32">
      <w:pPr>
        <w:rPr>
          <w:rFonts w:ascii="Century Gothic" w:hAnsi="Century Gothic"/>
        </w:rPr>
        <w:sectPr w:rsidR="001417C9" w:rsidRPr="003A259F" w:rsidSect="007876E2">
          <w:headerReference w:type="default" r:id="rId10"/>
          <w:footerReference w:type="even" r:id="rId11"/>
          <w:footerReference w:type="default" r:id="rId12"/>
          <w:footerReference w:type="first" r:id="rId13"/>
          <w:pgSz w:w="12240" w:h="15840"/>
          <w:pgMar w:top="720" w:right="1094" w:bottom="950" w:left="1094" w:header="720" w:footer="720" w:gutter="0"/>
          <w:pgNumType w:start="1"/>
          <w:cols w:space="720"/>
          <w:titlePg/>
        </w:sectPr>
      </w:pPr>
    </w:p>
    <w:p w14:paraId="1A299E97" w14:textId="77777777" w:rsidR="004608DB" w:rsidRDefault="004608DB" w:rsidP="006E2E32">
      <w:pPr>
        <w:pStyle w:val="TAMainText"/>
        <w:spacing w:line="240" w:lineRule="auto"/>
        <w:ind w:firstLine="0"/>
        <w:rPr>
          <w:rFonts w:ascii="Century Gothic" w:hAnsi="Century Gothic"/>
          <w:b/>
          <w:color w:val="943634"/>
          <w:sz w:val="22"/>
          <w:szCs w:val="22"/>
        </w:rPr>
      </w:pPr>
      <w:r w:rsidRPr="00BB3F74">
        <w:rPr>
          <w:rFonts w:ascii="Century Gothic" w:hAnsi="Century Gothic"/>
          <w:b/>
          <w:color w:val="943634"/>
          <w:sz w:val="22"/>
          <w:szCs w:val="22"/>
        </w:rPr>
        <w:lastRenderedPageBreak/>
        <w:t xml:space="preserve">1.0 </w:t>
      </w:r>
      <w:r w:rsidR="00A060DD" w:rsidRPr="00BB3F74">
        <w:rPr>
          <w:rFonts w:ascii="Century Gothic" w:hAnsi="Century Gothic"/>
          <w:b/>
          <w:color w:val="943634"/>
          <w:sz w:val="22"/>
          <w:szCs w:val="22"/>
        </w:rPr>
        <w:t>I</w:t>
      </w:r>
      <w:r w:rsidRPr="00BB3F74">
        <w:rPr>
          <w:rFonts w:ascii="Century Gothic" w:hAnsi="Century Gothic"/>
          <w:b/>
          <w:color w:val="943634"/>
          <w:sz w:val="22"/>
          <w:szCs w:val="22"/>
        </w:rPr>
        <w:t>NTRODUCTION</w:t>
      </w:r>
    </w:p>
    <w:p w14:paraId="2430FD4E" w14:textId="77777777" w:rsidR="003B1B71" w:rsidRPr="004D671D" w:rsidRDefault="003B1B71" w:rsidP="006E2E32">
      <w:pPr>
        <w:pStyle w:val="TAMainText"/>
        <w:spacing w:line="240" w:lineRule="auto"/>
        <w:ind w:firstLine="0"/>
        <w:rPr>
          <w:rFonts w:ascii="Century Gothic" w:hAnsi="Century Gothic"/>
          <w:b/>
          <w:color w:val="000000"/>
          <w:sz w:val="22"/>
          <w:szCs w:val="22"/>
        </w:rPr>
      </w:pPr>
    </w:p>
    <w:p w14:paraId="49B5B78F" w14:textId="257BD2CC" w:rsidR="0084393A" w:rsidRPr="0084393A" w:rsidRDefault="0084393A" w:rsidP="00F3357C">
      <w:pPr>
        <w:tabs>
          <w:tab w:val="left" w:pos="426"/>
        </w:tabs>
        <w:rPr>
          <w:rFonts w:ascii="Century Gothic" w:hAnsi="Century Gothic"/>
          <w:sz w:val="18"/>
          <w:szCs w:val="18"/>
        </w:rPr>
      </w:pPr>
      <w:r w:rsidRPr="0084393A">
        <w:rPr>
          <w:rFonts w:ascii="Century Gothic" w:hAnsi="Century Gothic"/>
          <w:sz w:val="18"/>
          <w:szCs w:val="18"/>
        </w:rPr>
        <w:t>Nickel (Ni) was designated a critical metal in 2022 due to its widespread use in the metals industry, particularly in clean energy technologies that play a vital role in climate change mitigation efforts</w:t>
      </w:r>
      <w:r w:rsidR="007B76F7">
        <w:rPr>
          <w:rFonts w:ascii="Century Gothic" w:hAnsi="Century Gothic"/>
          <w:sz w:val="18"/>
          <w:szCs w:val="18"/>
        </w:rPr>
        <w:t xml:space="preserve"> </w:t>
      </w:r>
      <w:r w:rsidR="007B76F7">
        <w:rPr>
          <w:rFonts w:ascii="Century Gothic" w:hAnsi="Century Gothic"/>
          <w:sz w:val="18"/>
          <w:szCs w:val="18"/>
        </w:rPr>
        <w:fldChar w:fldCharType="begin" w:fldLock="1"/>
      </w:r>
      <w:r w:rsidR="001D15DA">
        <w:rPr>
          <w:rFonts w:ascii="Century Gothic" w:hAnsi="Century Gothic"/>
          <w:sz w:val="18"/>
          <w:szCs w:val="18"/>
        </w:rPr>
        <w:instrText>ADDIN CSL_CITATION {"citationItems":[{"id":"ITEM-1","itemData":{"DOI":"10.1016/j.jseaes.2023.105912","ISSN":"13679120","abstract":"In 2022, nickel (Ni) was nominated as a critical metal due to its wide applications in the metal industry, especially in clean energy applications to achieve climate mitigation targets. Meantime, rapid industrialization and escalating demand for electronic battery manufacturing have increased global Ni consumption, and therefore available primary Ni resources will not be sufficient to cater to the demand. As a result, currently, the Ni supply chain is diversifying focusing on low-grade Ni resources which were previously considered as economically invaluable. This paper presents comprehensive study on different applications of Ni, existing high-grade Ni resources, mode of occurrence, and the production and future demand of Ni, and discusses the state of art on the different leaching and extraction methods to recover Ni from low-grade sources, such as mine tailings, galvanic sludge, electronic batteries, and serpentine soil. In addition, this paper highlights the current status of the Ni phytomining approaches in serpentine soil and its future perspectives. It is evident that a development of Ni phytomining industry as a carbon–neutral mining technique is essential to overcome Ni supply risk for the commercial production of Ni using low-grade resources. Finally, this study will evaluate the production of high-quality Ni from low-grade secondary sources.","author":[{"dropping-particle":"","family":"Dilshara","given":"Pubudi","non-dropping-particle":"","parse-names":false,"suffix":""},{"dropping-particle":"","family":"Abeysinghe","given":"Bandara","non-dropping-particle":"","parse-names":false,"suffix":""},{"dropping-particle":"","family":"Premasiri","given":"Ranjith","non-dropping-particle":"","parse-names":false,"suffix":""},{"dropping-particle":"","family":"Dushyantha","given":"Nimila","non-dropping-particle":"","parse-names":false,"suffix":""},{"dropping-particle":"","family":"Ratnayake","given":"Nalin","non-dropping-particle":"","parse-names":false,"suffix":""},{"dropping-particle":"","family":"Senarath","given":"Sandun","non-dropping-particle":"","parse-names":false,"suffix":""},{"dropping-particle":"","family":"Sandaruwan Ratnayake","given":"Amila","non-dropping-particle":"","parse-names":false,"suffix":""},{"dropping-particle":"","family":"Batapola","given":"Nadeera","non-dropping-particle":"","parse-names":false,"suffix":""}],"container-title":"Journal of Asian Earth Sciences","id":"ITEM-1","issue":"February 2023","issued":{"date-parts":[["2024"]]},"title":"The role of nickel (Ni) as a critical metal in clean energy transition: applications, global distribution and occurrences, production-demand and phytomining","type":"article-journal","volume":"259"},"uris":["http://www.mendeley.com/documents/?uuid=0c470eab-cedb-4708-9d3d-9358818429b0"]}],"mendeley":{"formattedCitation":"[1]","plainTextFormattedCitation":"[1]","previouslyFormattedCitation":"[1]"},"properties":{"noteIndex":0},"schema":"https://github.com/citation-style-language/schema/raw/master/csl-citation.json"}</w:instrText>
      </w:r>
      <w:r w:rsidR="007B76F7">
        <w:rPr>
          <w:rFonts w:ascii="Century Gothic" w:hAnsi="Century Gothic"/>
          <w:sz w:val="18"/>
          <w:szCs w:val="18"/>
        </w:rPr>
        <w:fldChar w:fldCharType="separate"/>
      </w:r>
      <w:r w:rsidR="00F44C9B" w:rsidRPr="00F44C9B">
        <w:rPr>
          <w:rFonts w:ascii="Century Gothic" w:hAnsi="Century Gothic"/>
          <w:noProof/>
          <w:sz w:val="18"/>
          <w:szCs w:val="18"/>
        </w:rPr>
        <w:t>[1]</w:t>
      </w:r>
      <w:r w:rsidR="007B76F7">
        <w:rPr>
          <w:rFonts w:ascii="Century Gothic" w:hAnsi="Century Gothic"/>
          <w:sz w:val="18"/>
          <w:szCs w:val="18"/>
        </w:rPr>
        <w:fldChar w:fldCharType="end"/>
      </w:r>
      <w:r w:rsidRPr="0084393A">
        <w:rPr>
          <w:rFonts w:ascii="Century Gothic" w:hAnsi="Century Gothic"/>
          <w:sz w:val="18"/>
          <w:szCs w:val="18"/>
        </w:rPr>
        <w:t xml:space="preserve">. </w:t>
      </w:r>
      <w:r w:rsidR="00DE35EE">
        <w:rPr>
          <w:rFonts w:ascii="Century Gothic" w:hAnsi="Century Gothic"/>
          <w:sz w:val="18"/>
          <w:szCs w:val="18"/>
        </w:rPr>
        <w:t>T</w:t>
      </w:r>
      <w:r w:rsidRPr="0084393A">
        <w:rPr>
          <w:rFonts w:ascii="Century Gothic" w:hAnsi="Century Gothic"/>
          <w:sz w:val="18"/>
          <w:szCs w:val="18"/>
        </w:rPr>
        <w:t>he demand for nickel in battery precursors is projected to increase significantly, from 7% of the total market in 2021 to 41% by 2040</w:t>
      </w:r>
      <w:r w:rsidR="007B76F7">
        <w:rPr>
          <w:rFonts w:ascii="Century Gothic" w:hAnsi="Century Gothic"/>
          <w:sz w:val="18"/>
          <w:szCs w:val="18"/>
        </w:rPr>
        <w:t xml:space="preserve"> </w:t>
      </w:r>
      <w:r w:rsidRPr="0084393A">
        <w:rPr>
          <w:rFonts w:ascii="Century Gothic" w:hAnsi="Century Gothic"/>
          <w:sz w:val="18"/>
          <w:szCs w:val="18"/>
        </w:rPr>
        <w:t xml:space="preserve"> </w:t>
      </w:r>
      <w:r w:rsidR="003208A1">
        <w:rPr>
          <w:rFonts w:ascii="Century Gothic" w:hAnsi="Century Gothic"/>
          <w:sz w:val="18"/>
          <w:szCs w:val="18"/>
        </w:rPr>
        <w:fldChar w:fldCharType="begin" w:fldLock="1"/>
      </w:r>
      <w:r w:rsidR="001D15DA">
        <w:rPr>
          <w:rFonts w:ascii="Century Gothic" w:hAnsi="Century Gothic"/>
          <w:sz w:val="18"/>
          <w:szCs w:val="18"/>
        </w:rPr>
        <w:instrText>ADDIN CSL_CITATION {"citationItems":[{"id":"ITEM-1","itemData":{"abstract":"BACKGROUND: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Mitchell","given":"Andrew","non-dropping-particle":"","parse-names":false,"suffix":""}],"container-title":"Https://Www.Woodmac.Com/News/Opinion/Nickel-and-Copper-Building-Blocks-for-a-Greener-Future/","id":"ITEM-1","issued":{"date-parts":[["2022"]]},"title":"Nickel and copper: building blocks for a greener future","type":"article-journal"},"uris":["http://www.mendeley.com/documents/?uuid=22c4e947-b680-43c2-8e02-fc6de390503d"]}],"mendeley":{"formattedCitation":"[2]","plainTextFormattedCitation":"[2]","previouslyFormattedCitation":"[2]"},"properties":{"noteIndex":0},"schema":"https://github.com/citation-style-language/schema/raw/master/csl-citation.json"}</w:instrText>
      </w:r>
      <w:r w:rsidR="003208A1">
        <w:rPr>
          <w:rFonts w:ascii="Century Gothic" w:hAnsi="Century Gothic"/>
          <w:sz w:val="18"/>
          <w:szCs w:val="18"/>
        </w:rPr>
        <w:fldChar w:fldCharType="separate"/>
      </w:r>
      <w:r w:rsidR="00F44C9B" w:rsidRPr="00F44C9B">
        <w:rPr>
          <w:rFonts w:ascii="Century Gothic" w:hAnsi="Century Gothic"/>
          <w:noProof/>
          <w:sz w:val="18"/>
          <w:szCs w:val="18"/>
        </w:rPr>
        <w:t>[2]</w:t>
      </w:r>
      <w:r w:rsidR="003208A1">
        <w:rPr>
          <w:rFonts w:ascii="Century Gothic" w:hAnsi="Century Gothic"/>
          <w:sz w:val="18"/>
          <w:szCs w:val="18"/>
        </w:rPr>
        <w:fldChar w:fldCharType="end"/>
      </w:r>
      <w:r w:rsidRPr="0084393A">
        <w:rPr>
          <w:rFonts w:ascii="Century Gothic" w:hAnsi="Century Gothic"/>
          <w:sz w:val="18"/>
          <w:szCs w:val="18"/>
        </w:rPr>
        <w:t>. This indicates that nickel plays a strategic role in the global energy transition and faces long-term rising demand.</w:t>
      </w:r>
    </w:p>
    <w:p w14:paraId="49B0C451" w14:textId="4DB1776D" w:rsidR="00A44DD9" w:rsidRDefault="008207B0" w:rsidP="006E2E32">
      <w:pPr>
        <w:pStyle w:val="NormalWeb"/>
        <w:spacing w:before="0" w:beforeAutospacing="0" w:after="0" w:afterAutospacing="0"/>
        <w:ind w:firstLine="284"/>
        <w:jc w:val="both"/>
        <w:rPr>
          <w:color w:val="000000"/>
        </w:rPr>
      </w:pPr>
      <w:r w:rsidRPr="008207B0">
        <w:rPr>
          <w:rFonts w:ascii="Century Gothic" w:hAnsi="Century Gothic"/>
          <w:color w:val="000000"/>
          <w:sz w:val="18"/>
          <w:szCs w:val="18"/>
        </w:rPr>
        <w:t>Domestic nickel prices and the stock prices of nickel-based companies are influenced by global nickel prices as well as government policies, particularly in Indonesia</w:t>
      </w:r>
      <w:r w:rsidR="001D15DA">
        <w:rPr>
          <w:rFonts w:ascii="Century Gothic" w:hAnsi="Century Gothic"/>
          <w:color w:val="000000"/>
          <w:sz w:val="18"/>
          <w:szCs w:val="18"/>
        </w:rPr>
        <w:t xml:space="preserve"> </w:t>
      </w:r>
      <w:r w:rsidRPr="008207B0">
        <w:rPr>
          <w:rFonts w:ascii="Century Gothic" w:hAnsi="Century Gothic"/>
          <w:color w:val="000000"/>
          <w:sz w:val="18"/>
          <w:szCs w:val="18"/>
        </w:rPr>
        <w:t>one of the world’s largest nickel exporters, with nickel ore reserves exceeding 18 million tons</w:t>
      </w:r>
      <w:r w:rsidR="003208A1">
        <w:rPr>
          <w:rFonts w:ascii="Century Gothic" w:hAnsi="Century Gothic"/>
          <w:color w:val="000000"/>
          <w:sz w:val="18"/>
          <w:szCs w:val="18"/>
        </w:rPr>
        <w:t xml:space="preserve"> </w:t>
      </w:r>
      <w:r w:rsidR="003208A1">
        <w:rPr>
          <w:rFonts w:ascii="Century Gothic" w:hAnsi="Century Gothic"/>
          <w:color w:val="000000"/>
          <w:sz w:val="18"/>
          <w:szCs w:val="18"/>
        </w:rPr>
        <w:fldChar w:fldCharType="begin" w:fldLock="1"/>
      </w:r>
      <w:r w:rsidR="001D15DA">
        <w:rPr>
          <w:rFonts w:ascii="Century Gothic" w:hAnsi="Century Gothic"/>
          <w:color w:val="000000"/>
          <w:sz w:val="18"/>
          <w:szCs w:val="18"/>
        </w:rPr>
        <w:instrText>ADDIN CSL_CITATION {"citationItems":[{"id":"ITEM-1","itemData":{"URL":"https://www.esdm.go.id/id/media-center/arsip-berita/pemilik-cadangan-nikel-dan-bauksit-terbesar-di-dunia-ini-yang-dilakukan-indonesia","author":[{"dropping-particle":"","family":"Agus","given":"Adi","non-dropping-particle":"","parse-names":false,"suffix":""}],"container-title":"KEMENTERIAN ENERGI DAN SUMBER DAYA MINERAL","id":"ITEM-1","issued":{"date-parts":[["2024"]]},"title":"Pemilik cadangan nikel dan bauksit terbesar di dunia, ini yang dilakukan Indonesia. Kementerian Energi dan Sumber Daya Mineral Republik Indonesia.","type":"webpage"},"uris":["http://www.mendeley.com/documents/?uuid=75ad6f49-ebc9-4fb5-bf11-26d6032574d9"]}],"mendeley":{"formattedCitation":"[3]","plainTextFormattedCitation":"[3]","previouslyFormattedCitation":"[3]"},"properties":{"noteIndex":0},"schema":"https://github.com/citation-style-language/schema/raw/master/csl-citation.json"}</w:instrText>
      </w:r>
      <w:r w:rsidR="003208A1">
        <w:rPr>
          <w:rFonts w:ascii="Century Gothic" w:hAnsi="Century Gothic"/>
          <w:color w:val="000000"/>
          <w:sz w:val="18"/>
          <w:szCs w:val="18"/>
        </w:rPr>
        <w:fldChar w:fldCharType="separate"/>
      </w:r>
      <w:r w:rsidR="00F44C9B" w:rsidRPr="00F44C9B">
        <w:rPr>
          <w:rFonts w:ascii="Century Gothic" w:hAnsi="Century Gothic"/>
          <w:noProof/>
          <w:color w:val="000000"/>
          <w:sz w:val="18"/>
          <w:szCs w:val="18"/>
        </w:rPr>
        <w:t>[3]</w:t>
      </w:r>
      <w:r w:rsidR="003208A1">
        <w:rPr>
          <w:rFonts w:ascii="Century Gothic" w:hAnsi="Century Gothic"/>
          <w:color w:val="000000"/>
          <w:sz w:val="18"/>
          <w:szCs w:val="18"/>
        </w:rPr>
        <w:fldChar w:fldCharType="end"/>
      </w:r>
      <w:r w:rsidR="00E41FB0">
        <w:rPr>
          <w:rFonts w:ascii="Century Gothic" w:hAnsi="Century Gothic"/>
          <w:color w:val="000000"/>
          <w:sz w:val="18"/>
          <w:szCs w:val="18"/>
        </w:rPr>
        <w:t xml:space="preserve">. </w:t>
      </w:r>
      <w:r w:rsidRPr="008207B0">
        <w:rPr>
          <w:rFonts w:ascii="Century Gothic" w:hAnsi="Century Gothic"/>
          <w:color w:val="000000"/>
          <w:sz w:val="18"/>
          <w:szCs w:val="18"/>
        </w:rPr>
        <w:t>One policy with significant impact is the ban on nickel ore exports, which has been shown to affect the stock prices of nickel mining companies in Indonesia</w:t>
      </w:r>
      <w:r w:rsidR="007B76F7">
        <w:rPr>
          <w:rFonts w:ascii="Century Gothic" w:hAnsi="Century Gothic"/>
          <w:color w:val="000000"/>
          <w:sz w:val="18"/>
          <w:szCs w:val="18"/>
        </w:rPr>
        <w:t xml:space="preserve"> </w:t>
      </w:r>
      <w:r w:rsidR="003208A1">
        <w:rPr>
          <w:rFonts w:ascii="Century Gothic" w:hAnsi="Century Gothic"/>
          <w:color w:val="000000"/>
          <w:sz w:val="18"/>
          <w:szCs w:val="18"/>
        </w:rPr>
        <w:fldChar w:fldCharType="begin" w:fldLock="1"/>
      </w:r>
      <w:r w:rsidR="001D15DA">
        <w:rPr>
          <w:rFonts w:ascii="Century Gothic" w:hAnsi="Century Gothic"/>
          <w:color w:val="000000"/>
          <w:sz w:val="18"/>
          <w:szCs w:val="18"/>
        </w:rPr>
        <w:instrText>ADDIN CSL_CITATION {"citationItems":[{"id":"ITEM-1","itemData":{"author":[{"dropping-particle":"","family":"Sihotang","given":"Kristono","non-dropping-particle":"","parse-names":false,"suffix":""},{"dropping-particle":"","family":"Ishak","given":"Gos","non-dropping-particle":"","parse-names":false,"suffix":""}],"container-title":"COSTING:Journal of Economic, Business and Accounting","id":"ITEM-1","issued":{"date-parts":[["2024"]]},"title":"Pengaruh Harga Nikel, PDB, Inflasi, Kurs, FDI terhadap Harga Saham Perusahaan Tambang Nikel","type":"article-journal","volume":"Volume 7 n"},"uris":["http://www.mendeley.com/documents/?uuid=d5eda452-bd07-4dd0-800f-eb7fcb60780b"]}],"mendeley":{"formattedCitation":"[4]","plainTextFormattedCitation":"[4]","previouslyFormattedCitation":"[4]"},"properties":{"noteIndex":0},"schema":"https://github.com/citation-style-language/schema/raw/master/csl-citation.json"}</w:instrText>
      </w:r>
      <w:r w:rsidR="003208A1">
        <w:rPr>
          <w:rFonts w:ascii="Century Gothic" w:hAnsi="Century Gothic"/>
          <w:color w:val="000000"/>
          <w:sz w:val="18"/>
          <w:szCs w:val="18"/>
        </w:rPr>
        <w:fldChar w:fldCharType="separate"/>
      </w:r>
      <w:r w:rsidR="00F44C9B" w:rsidRPr="00F44C9B">
        <w:rPr>
          <w:rFonts w:ascii="Century Gothic" w:hAnsi="Century Gothic"/>
          <w:noProof/>
          <w:color w:val="000000"/>
          <w:sz w:val="18"/>
          <w:szCs w:val="18"/>
        </w:rPr>
        <w:t>[4]</w:t>
      </w:r>
      <w:r w:rsidR="003208A1">
        <w:rPr>
          <w:rFonts w:ascii="Century Gothic" w:hAnsi="Century Gothic"/>
          <w:color w:val="000000"/>
          <w:sz w:val="18"/>
          <w:szCs w:val="18"/>
        </w:rPr>
        <w:fldChar w:fldCharType="end"/>
      </w:r>
      <w:r w:rsidRPr="008207B0">
        <w:rPr>
          <w:rFonts w:ascii="Century Gothic" w:hAnsi="Century Gothic"/>
          <w:color w:val="000000"/>
          <w:sz w:val="18"/>
          <w:szCs w:val="18"/>
        </w:rPr>
        <w:t xml:space="preserve">. Fluctuations in nickel prices on the global market also have a direct impact on companies operating in the nickel mining sector, including PT Vale Indonesia </w:t>
      </w:r>
      <w:proofErr w:type="spellStart"/>
      <w:r w:rsidRPr="008207B0">
        <w:rPr>
          <w:rFonts w:ascii="Century Gothic" w:hAnsi="Century Gothic"/>
          <w:color w:val="000000"/>
          <w:sz w:val="18"/>
          <w:szCs w:val="18"/>
        </w:rPr>
        <w:t>Tbk</w:t>
      </w:r>
      <w:proofErr w:type="spellEnd"/>
      <w:r w:rsidRPr="008207B0">
        <w:rPr>
          <w:rFonts w:ascii="Century Gothic" w:hAnsi="Century Gothic"/>
          <w:color w:val="000000"/>
          <w:sz w:val="18"/>
          <w:szCs w:val="18"/>
        </w:rPr>
        <w:t xml:space="preserve"> (INCO), as these price changes will affect the company’s performance and value</w:t>
      </w:r>
      <w:r w:rsidR="007B76F7">
        <w:rPr>
          <w:rFonts w:ascii="Century Gothic" w:hAnsi="Century Gothic"/>
          <w:color w:val="000000"/>
          <w:sz w:val="18"/>
          <w:szCs w:val="18"/>
        </w:rPr>
        <w:t xml:space="preserve"> </w:t>
      </w:r>
      <w:r w:rsidR="003208A1">
        <w:rPr>
          <w:rFonts w:ascii="Century Gothic" w:hAnsi="Century Gothic"/>
          <w:color w:val="000000"/>
          <w:sz w:val="18"/>
          <w:szCs w:val="18"/>
        </w:rPr>
        <w:fldChar w:fldCharType="begin" w:fldLock="1"/>
      </w:r>
      <w:r w:rsidR="001D15DA">
        <w:rPr>
          <w:rFonts w:ascii="Century Gothic" w:hAnsi="Century Gothic"/>
          <w:color w:val="000000"/>
          <w:sz w:val="18"/>
          <w:szCs w:val="18"/>
        </w:rPr>
        <w:instrText>ADDIN CSL_CITATION {"citationItems":[{"id":"ITEM-1","itemData":{"author":[{"dropping-particle":"","family":"Biantoro","given":"Reyhan","non-dropping-particle":"","parse-names":false,"suffix":""}],"id":"ITEM-1","issue":"January","issued":{"date-parts":[["2023"]]},"publisher":"Institut Teknologi Bandung","title":"STOCK VALUATION AND FINANCIAL PERFORMANCE OF NICKEL MINING COMPANY IN INDONESIA ( CASE STUDY : PT VALE INDONESIA TBK )","type":"thesis"},"uris":["http://www.mendeley.com/documents/?uuid=a5324b0d-a59b-4e7b-a8b9-f2f93ff0599c"]}],"mendeley":{"formattedCitation":"[5]","plainTextFormattedCitation":"[5]","previouslyFormattedCitation":"[5]"},"properties":{"noteIndex":0},"schema":"https://github.com/citation-style-language/schema/raw/master/csl-citation.json"}</w:instrText>
      </w:r>
      <w:r w:rsidR="003208A1">
        <w:rPr>
          <w:rFonts w:ascii="Century Gothic" w:hAnsi="Century Gothic"/>
          <w:color w:val="000000"/>
          <w:sz w:val="18"/>
          <w:szCs w:val="18"/>
        </w:rPr>
        <w:fldChar w:fldCharType="separate"/>
      </w:r>
      <w:r w:rsidR="00F44C9B" w:rsidRPr="00F44C9B">
        <w:rPr>
          <w:rFonts w:ascii="Century Gothic" w:hAnsi="Century Gothic"/>
          <w:noProof/>
          <w:color w:val="000000"/>
          <w:sz w:val="18"/>
          <w:szCs w:val="18"/>
        </w:rPr>
        <w:t>[5]</w:t>
      </w:r>
      <w:r w:rsidR="003208A1">
        <w:rPr>
          <w:rFonts w:ascii="Century Gothic" w:hAnsi="Century Gothic"/>
          <w:color w:val="000000"/>
          <w:sz w:val="18"/>
          <w:szCs w:val="18"/>
        </w:rPr>
        <w:fldChar w:fldCharType="end"/>
      </w:r>
      <w:r w:rsidRPr="008207B0">
        <w:rPr>
          <w:rFonts w:ascii="Century Gothic" w:hAnsi="Century Gothic"/>
          <w:color w:val="000000"/>
          <w:sz w:val="18"/>
          <w:szCs w:val="18"/>
        </w:rPr>
        <w:t>.</w:t>
      </w:r>
    </w:p>
    <w:p w14:paraId="5AACDCDD" w14:textId="2FE48ECD" w:rsidR="00A715CB" w:rsidRDefault="00A44DD9" w:rsidP="006E2E32">
      <w:pPr>
        <w:pStyle w:val="NormalWeb"/>
        <w:spacing w:before="0" w:beforeAutospacing="0" w:after="0" w:afterAutospacing="0"/>
        <w:ind w:firstLine="284"/>
        <w:jc w:val="both"/>
        <w:rPr>
          <w:rFonts w:ascii="Century Gothic" w:hAnsi="Century Gothic"/>
          <w:color w:val="000000"/>
          <w:sz w:val="18"/>
          <w:szCs w:val="18"/>
        </w:rPr>
      </w:pPr>
      <w:r w:rsidRPr="00A44DD9">
        <w:rPr>
          <w:rFonts w:ascii="Century Gothic" w:hAnsi="Century Gothic"/>
          <w:color w:val="000000"/>
          <w:sz w:val="18"/>
          <w:szCs w:val="18"/>
        </w:rPr>
        <w:t>Stock price movements in the commodities sector tend to be complex because they are influenced by various external factors that result in high volatility and unpredictable dynamics. Stock market forecasting is crucial as a foundation for investment decision-making and risk management. Before the development of computing technology, stock market forecasting was generally conducted through fundamental and technical analysis. However, with advances in computing technology, approaches to stock market forecasting have undergone significant development in the business world</w:t>
      </w:r>
      <w:r w:rsidR="003208A1">
        <w:rPr>
          <w:rFonts w:ascii="Century Gothic" w:hAnsi="Century Gothic"/>
          <w:color w:val="000000"/>
          <w:sz w:val="18"/>
          <w:szCs w:val="18"/>
        </w:rPr>
        <w:t xml:space="preserve"> </w:t>
      </w:r>
      <w:r w:rsidR="003208A1">
        <w:rPr>
          <w:rFonts w:ascii="Century Gothic" w:hAnsi="Century Gothic"/>
          <w:color w:val="000000"/>
          <w:sz w:val="18"/>
          <w:szCs w:val="18"/>
        </w:rPr>
        <w:fldChar w:fldCharType="begin" w:fldLock="1"/>
      </w:r>
      <w:r w:rsidR="001D15DA">
        <w:rPr>
          <w:rFonts w:ascii="Century Gothic" w:hAnsi="Century Gothic"/>
          <w:color w:val="000000"/>
          <w:sz w:val="18"/>
          <w:szCs w:val="18"/>
        </w:rPr>
        <w:instrText>ADDIN CSL_CITATION {"citationItems":[{"id":"ITEM-1","itemData":{"DOI":"10.1016/j.ipm.2022.102873","ISSN":"03064573","abstract":"Because the innovation level of enterprise clusters in various regions of China is generally low, this research is focused on the process of knowledge integration of regional innovation subjects. We research, explore and analyze the different connection states between nodes and their impact on the knowledge symbiosis or knowledge spillover ability of the entire innovation network, learn from the characteristics of neurons in the neural network and the information transmission model to investigate the connection between various nodes in innovation network. We then determine the knowledge association mechanism and transmission relationship, and then analyze the trigger conditions of fusion and the transformation model of innovative knowledge flow under this condition, laying the foundation for further theoretical or practical research. Second, we built a model of the knowledge transfer connection that will be used in the innovation process. and select a path of knowledge transfer. Based on the mechanism of multi-agent innovation, we analyzed the incentive relationship of knowledge transfer in the innovation process, constructed the principles of knowledge transfer, analyzed the mutual transfer relationship between different innovation nodes, and analyze the simulation innovation network through certain examples. The knowledge fusion process in China lays the foundation for the improvement of the overall collaborative innovation level of the regional multi-agent innovation network. From the overall structure of the article, this research analyzes the regional innovation network from a new perspective on the basis of domestic and foreign research in knowledge flow management and control technology, knowledge exchange under social networks, and neural network optimization algorithms. The process of knowledge symbiosis or knowledge spillover in the process of innovation, exploring the incentive relationship of knowledge transfer throughout the primary parts innovation process, optimizing the degree of connection or relationship between different main agents, optimizing the knowledge exchange relationship from one node in the innovation network to another and improving the collaborative innovation of the regional mesh lay a theoretical foundation for the level.","author":[{"dropping-particle":"","family":"Bao","given":"Zongke","non-dropping-particle":"","parse-names":false,"suffix":""},{"dropping-particle":"","family":"Wang","given":"Chenguang","non-dropping-particle":"","parse-names":false,"suffix":""}],"container-title":"Information Processing and Management","id":"ITEM-1","issue":"2","issued":{"date-parts":[["2022"]]},"page":"102873","publisher":"Elsevier Ltd","title":"A multi-agent knowledge integration process for enterprise management innovation from the perspective of neural network","type":"article-journal","volume":"59"},"uris":["http://www.mendeley.com/documents/?uuid=e1299cc4-2167-443f-b0f4-a397395cbc8f"]}],"mendeley":{"formattedCitation":"[6]","plainTextFormattedCitation":"[6]","previouslyFormattedCitation":"[6]"},"properties":{"noteIndex":0},"schema":"https://github.com/citation-style-language/schema/raw/master/csl-citation.json"}</w:instrText>
      </w:r>
      <w:r w:rsidR="003208A1">
        <w:rPr>
          <w:rFonts w:ascii="Century Gothic" w:hAnsi="Century Gothic"/>
          <w:color w:val="000000"/>
          <w:sz w:val="18"/>
          <w:szCs w:val="18"/>
        </w:rPr>
        <w:fldChar w:fldCharType="separate"/>
      </w:r>
      <w:r w:rsidR="00F44C9B" w:rsidRPr="00F44C9B">
        <w:rPr>
          <w:rFonts w:ascii="Century Gothic" w:hAnsi="Century Gothic"/>
          <w:noProof/>
          <w:color w:val="000000"/>
          <w:sz w:val="18"/>
          <w:szCs w:val="18"/>
        </w:rPr>
        <w:t>[6]</w:t>
      </w:r>
      <w:r w:rsidR="003208A1">
        <w:rPr>
          <w:rFonts w:ascii="Century Gothic" w:hAnsi="Century Gothic"/>
          <w:color w:val="000000"/>
          <w:sz w:val="18"/>
          <w:szCs w:val="18"/>
        </w:rPr>
        <w:fldChar w:fldCharType="end"/>
      </w:r>
      <w:r w:rsidRPr="00A44DD9">
        <w:rPr>
          <w:rFonts w:ascii="Century Gothic" w:hAnsi="Century Gothic"/>
          <w:color w:val="000000"/>
          <w:sz w:val="18"/>
          <w:szCs w:val="18"/>
        </w:rPr>
        <w:t>.</w:t>
      </w:r>
    </w:p>
    <w:p w14:paraId="3897FA47" w14:textId="17393427" w:rsidR="00257D4C" w:rsidRDefault="00A715CB" w:rsidP="006E2E32">
      <w:pPr>
        <w:pStyle w:val="NormalWeb"/>
        <w:spacing w:before="0" w:beforeAutospacing="0" w:after="0" w:afterAutospacing="0"/>
        <w:ind w:firstLine="284"/>
        <w:jc w:val="both"/>
        <w:rPr>
          <w:rFonts w:ascii="Century Gothic" w:hAnsi="Century Gothic"/>
          <w:color w:val="000000"/>
          <w:sz w:val="18"/>
          <w:szCs w:val="18"/>
        </w:rPr>
      </w:pPr>
      <w:r w:rsidRPr="00A715CB">
        <w:rPr>
          <w:rFonts w:ascii="Century Gothic" w:hAnsi="Century Gothic"/>
          <w:color w:val="000000"/>
          <w:sz w:val="18"/>
          <w:szCs w:val="18"/>
        </w:rPr>
        <w:t xml:space="preserve">One model that continues to evolve is the Autoregressive Integrated Moving Average (ARIMA), which is recognized as a powerful and popular method for time series forecasting thanks to its ability to identify and predict patterns in data. This model is considered to have a wide range of applications and is frequently used across various fields, such as energy forecasting, healthcare, supply chain management, marketing, customer </w:t>
      </w:r>
      <w:proofErr w:type="spellStart"/>
      <w:r w:rsidRPr="00A715CB">
        <w:rPr>
          <w:rFonts w:ascii="Century Gothic" w:hAnsi="Century Gothic"/>
          <w:color w:val="000000"/>
          <w:sz w:val="18"/>
          <w:szCs w:val="18"/>
        </w:rPr>
        <w:t>behavior</w:t>
      </w:r>
      <w:proofErr w:type="spellEnd"/>
      <w:r w:rsidRPr="00A715CB">
        <w:rPr>
          <w:rFonts w:ascii="Century Gothic" w:hAnsi="Century Gothic"/>
          <w:color w:val="000000"/>
          <w:sz w:val="18"/>
          <w:szCs w:val="18"/>
        </w:rPr>
        <w:t xml:space="preserve"> analysis, and environmental science</w:t>
      </w:r>
      <w:r w:rsidR="003208A1">
        <w:rPr>
          <w:rFonts w:ascii="Century Gothic" w:hAnsi="Century Gothic"/>
          <w:color w:val="000000"/>
          <w:sz w:val="18"/>
          <w:szCs w:val="18"/>
        </w:rPr>
        <w:t xml:space="preserve"> </w:t>
      </w:r>
      <w:r w:rsidR="003208A1">
        <w:rPr>
          <w:rFonts w:ascii="Century Gothic" w:hAnsi="Century Gothic"/>
          <w:color w:val="000000"/>
          <w:sz w:val="18"/>
          <w:szCs w:val="18"/>
        </w:rPr>
        <w:fldChar w:fldCharType="begin" w:fldLock="1"/>
      </w:r>
      <w:r w:rsidR="001D15DA">
        <w:rPr>
          <w:rFonts w:ascii="Century Gothic" w:hAnsi="Century Gothic"/>
          <w:color w:val="000000"/>
          <w:sz w:val="18"/>
          <w:szCs w:val="18"/>
        </w:rPr>
        <w:instrText>ADDIN CSL_CITATION {"citationItems":[{"id":"ITEM-1","itemData":{"DOI":"10.2991/978-94-6463-662-8_55","ISBN":"9789464636628","abstract":"Time series forecasting using ARIMA (AutoRegressive Integrated Moving Average) is well-liked and tested machine learning technique for projecting upcoming values depending on historical data or previous observations. Although ARIMA is a strong and popular technique for time series forecasting, because of its capacity to identify and predict temporal patterns in data, ARIMA models have a broad variety of applications in numerous areas. Energy forecasting, healthcare, supply chain management marketing, customer behaviour analysis, and environmental sciences are a few industries that frequently use ARIMA. These are a handful of the various uses for ARIMA models. In reality, ARIMA is a flexible technique, time series analysis are tailored to a variety of domains and particular forecasting applications. Ultimately, it does have some significant limitations. These drawbacks, which include sensitivity to parameters, seasonality limits, the inability to capture non-linear correlations , and data requirements, make it challenging for companies to employ ARIMA for forecasting. In light of these limitations, my survey suggests using the R language. Modeltime package in conjunction with ensemble learning models (Random Forest, XGBoost) FB Prophet, LSTM for forecasting. When these three models are taken into account for forecasting, the best forecasting values will be determined by computing each model's MSE (Mean Squared Error) value, which will be used for production further.","author":[{"dropping-particle":"","family":"Reddy","given":"B. Dilip Kumar","non-dropping-particle":"","parse-names":false,"suffix":""},{"dropping-particle":"","family":"Naik","given":"J. Swami","non-dropping-particle":"","parse-names":false,"suffix":""},{"dropping-particle":"","family":"Kumar","given":"S. Vinay","non-dropping-particle":"","parse-names":false,"suffix":""},{"dropping-particle":"","family":"Kumar","given":"Suresh","non-dropping-particle":"","parse-names":false,"suffix":""},{"dropping-particle":"","family":"Haritha","given":"G.","non-dropping-particle":"","parse-names":false,"suffix":""},{"dropping-particle":"","family":"Reddy","given":"M. Raghavendra","non-dropping-particle":"","parse-names":false,"suffix":""}],"id":"ITEM-1","issued":{"date-parts":[["2025"]]},"number-of-pages":"709-719","publisher":"Atlantis Press International BV","title":"A Methodological Review on Time Series Forecasting by using ARIMA","type":"book"},"uris":["http://www.mendeley.com/documents/?uuid=01fb3a20-c843-4985-bbb5-e3f6e30aa03f"]}],"mendeley":{"formattedCitation":"[7]","plainTextFormattedCitation":"[7]","previouslyFormattedCitation":"[7]"},"properties":{"noteIndex":0},"schema":"https://github.com/citation-style-language/schema/raw/master/csl-citation.json"}</w:instrText>
      </w:r>
      <w:r w:rsidR="003208A1">
        <w:rPr>
          <w:rFonts w:ascii="Century Gothic" w:hAnsi="Century Gothic"/>
          <w:color w:val="000000"/>
          <w:sz w:val="18"/>
          <w:szCs w:val="18"/>
        </w:rPr>
        <w:fldChar w:fldCharType="separate"/>
      </w:r>
      <w:r w:rsidR="00F44C9B" w:rsidRPr="00F44C9B">
        <w:rPr>
          <w:rFonts w:ascii="Century Gothic" w:hAnsi="Century Gothic"/>
          <w:noProof/>
          <w:color w:val="000000"/>
          <w:sz w:val="18"/>
          <w:szCs w:val="18"/>
        </w:rPr>
        <w:t>[7]</w:t>
      </w:r>
      <w:r w:rsidR="003208A1">
        <w:rPr>
          <w:rFonts w:ascii="Century Gothic" w:hAnsi="Century Gothic"/>
          <w:color w:val="000000"/>
          <w:sz w:val="18"/>
          <w:szCs w:val="18"/>
        </w:rPr>
        <w:fldChar w:fldCharType="end"/>
      </w:r>
      <w:r w:rsidRPr="00A715CB">
        <w:rPr>
          <w:rFonts w:ascii="Century Gothic" w:hAnsi="Century Gothic"/>
          <w:color w:val="000000"/>
          <w:sz w:val="18"/>
          <w:szCs w:val="18"/>
        </w:rPr>
        <w:t>. Despite its strengths in predicting market movement patterns, the ARIMA time series model is often unable to account for the impact of sudden and unexpected events like the COVID-19 pandemic, as such events can cause significant structural changes and alter the underlying patterns of the time series data</w:t>
      </w:r>
      <w:r w:rsidR="003208A1">
        <w:rPr>
          <w:rFonts w:ascii="Century Gothic" w:hAnsi="Century Gothic"/>
          <w:color w:val="000000"/>
          <w:sz w:val="18"/>
          <w:szCs w:val="18"/>
        </w:rPr>
        <w:t xml:space="preserve"> </w:t>
      </w:r>
      <w:r w:rsidR="003208A1">
        <w:rPr>
          <w:rFonts w:ascii="Century Gothic" w:hAnsi="Century Gothic"/>
          <w:color w:val="000000"/>
          <w:sz w:val="18"/>
          <w:szCs w:val="18"/>
        </w:rPr>
        <w:fldChar w:fldCharType="begin" w:fldLock="1"/>
      </w:r>
      <w:r w:rsidR="001D15DA">
        <w:rPr>
          <w:rFonts w:ascii="Century Gothic" w:hAnsi="Century Gothic"/>
          <w:color w:val="000000"/>
          <w:sz w:val="18"/>
          <w:szCs w:val="18"/>
        </w:rPr>
        <w:instrText>ADDIN CSL_CITATION {"citationItems":[{"id":"ITEM-1","itemData":{"abstract":"In the present study, the authors examined the impact of financial sanctions on economic growth using Iran's data and intervention time-series analysis over the period 2005-2017. Financial sanctions targeted the country's financial resources and increased interest rates and medium-and long-term financing costs. In general, financial sanctions adversely affected the financial sector. In this regard, blocking of assets and restricted access to financial and foreign exchange resources, depreciated domestic currency, reduced investment, exports, and production along with increased inflation and unemployment ultimately reduced economic growth. The results indicated the effectiveness of financial sanctions on economic growth in the short-run. However, during the third period (2010-2014), when severe and multilateral financial sanctions are imposed, the coefficient is negative (0.54), which is higher, compared to the other periods. As the economic sanctions of Iran have intensified, the economic growth has slowed down. Nevertheless, in the long run, financial sanctions have had a weaker negative effect of 0.19 on the economic growth.","author":[{"dropping-particle":"","family":"Hossein","given":"Seyed","non-dropping-particle":"","parse-names":false,"suffix":""}],"container-title":"International Economics Studies","id":"ITEM-1","issue":"1","issued":{"date-parts":[["2021"]]},"page":"1-14","title":"Financial Sanctions and Economic Growth: An Intervention Time-series Approach","type":"article-journal","volume":"51"},"uris":["http://www.mendeley.com/documents/?uuid=b584b118-14c1-4b9f-85b4-3f7425aa751e"]}],"mendeley":{"formattedCitation":"[8]","plainTextFormattedCitation":"[8]","previouslyFormattedCitation":"[8]"},"properties":{"noteIndex":0},"schema":"https://github.com/citation-style-language/schema/raw/master/csl-citation.json"}</w:instrText>
      </w:r>
      <w:r w:rsidR="003208A1">
        <w:rPr>
          <w:rFonts w:ascii="Century Gothic" w:hAnsi="Century Gothic"/>
          <w:color w:val="000000"/>
          <w:sz w:val="18"/>
          <w:szCs w:val="18"/>
        </w:rPr>
        <w:fldChar w:fldCharType="separate"/>
      </w:r>
      <w:r w:rsidR="00F44C9B" w:rsidRPr="00F44C9B">
        <w:rPr>
          <w:rFonts w:ascii="Century Gothic" w:hAnsi="Century Gothic"/>
          <w:noProof/>
          <w:color w:val="000000"/>
          <w:sz w:val="18"/>
          <w:szCs w:val="18"/>
        </w:rPr>
        <w:t>[8]</w:t>
      </w:r>
      <w:r w:rsidR="003208A1">
        <w:rPr>
          <w:rFonts w:ascii="Century Gothic" w:hAnsi="Century Gothic"/>
          <w:color w:val="000000"/>
          <w:sz w:val="18"/>
          <w:szCs w:val="18"/>
        </w:rPr>
        <w:fldChar w:fldCharType="end"/>
      </w:r>
      <w:r w:rsidRPr="00A715CB">
        <w:rPr>
          <w:rFonts w:ascii="Century Gothic" w:hAnsi="Century Gothic"/>
          <w:color w:val="000000"/>
          <w:sz w:val="18"/>
          <w:szCs w:val="18"/>
        </w:rPr>
        <w:t>.</w:t>
      </w:r>
    </w:p>
    <w:p w14:paraId="7B7029E8" w14:textId="13F2C7A5" w:rsidR="00257D4C" w:rsidRPr="0075066D" w:rsidRDefault="00257D4C" w:rsidP="006E2E32">
      <w:pPr>
        <w:pStyle w:val="NormalWeb"/>
        <w:spacing w:before="0" w:beforeAutospacing="0" w:after="0" w:afterAutospacing="0"/>
        <w:jc w:val="both"/>
        <w:rPr>
          <w:color w:val="000000"/>
        </w:rPr>
      </w:pPr>
      <w:r w:rsidRPr="00257D4C">
        <w:rPr>
          <w:rFonts w:ascii="Century Gothic" w:hAnsi="Century Gothic"/>
          <w:color w:val="000000"/>
          <w:sz w:val="18"/>
          <w:szCs w:val="18"/>
        </w:rPr>
        <w:t>Intervention analysis is a time-series approach used to evaluate the impact of specific events</w:t>
      </w:r>
      <w:r>
        <w:rPr>
          <w:rFonts w:ascii="Century Gothic" w:hAnsi="Century Gothic"/>
          <w:color w:val="000000"/>
          <w:sz w:val="18"/>
          <w:szCs w:val="18"/>
        </w:rPr>
        <w:t xml:space="preserve"> </w:t>
      </w:r>
      <w:r w:rsidRPr="00257D4C">
        <w:rPr>
          <w:rFonts w:ascii="Century Gothic" w:hAnsi="Century Gothic"/>
          <w:color w:val="000000"/>
          <w:sz w:val="18"/>
          <w:szCs w:val="18"/>
        </w:rPr>
        <w:t>such as the 2008 global financial crisis and the COVID-19 pandemic</w:t>
      </w:r>
      <w:r>
        <w:rPr>
          <w:rFonts w:ascii="Century Gothic" w:hAnsi="Century Gothic"/>
          <w:color w:val="000000"/>
          <w:sz w:val="18"/>
          <w:szCs w:val="18"/>
        </w:rPr>
        <w:t xml:space="preserve"> </w:t>
      </w:r>
      <w:r w:rsidRPr="00257D4C">
        <w:rPr>
          <w:rFonts w:ascii="Century Gothic" w:hAnsi="Century Gothic"/>
          <w:color w:val="000000"/>
          <w:sz w:val="18"/>
          <w:szCs w:val="18"/>
        </w:rPr>
        <w:t>on changes in a variable, such as the unemployment rate. Through this method, the impact of these events can be measured quantitatively, thereby providing a clearer understanding of the effects of shocks on the data</w:t>
      </w:r>
      <w:r w:rsidR="003208A1">
        <w:rPr>
          <w:rFonts w:ascii="Century Gothic" w:hAnsi="Century Gothic"/>
          <w:color w:val="000000"/>
          <w:sz w:val="18"/>
          <w:szCs w:val="18"/>
        </w:rPr>
        <w:t xml:space="preserve"> </w:t>
      </w:r>
      <w:r w:rsidR="003208A1">
        <w:rPr>
          <w:rFonts w:ascii="Century Gothic" w:hAnsi="Century Gothic"/>
          <w:color w:val="000000"/>
          <w:sz w:val="18"/>
          <w:szCs w:val="18"/>
        </w:rPr>
        <w:fldChar w:fldCharType="begin" w:fldLock="1"/>
      </w:r>
      <w:r w:rsidR="001D15DA">
        <w:rPr>
          <w:rFonts w:ascii="Century Gothic" w:hAnsi="Century Gothic"/>
          <w:color w:val="000000"/>
          <w:sz w:val="18"/>
          <w:szCs w:val="18"/>
        </w:rPr>
        <w:instrText>ADDIN CSL_CITATION {"citationItems":[{"id":"ITEM-1","itemData":{"DOI":"10.5220/0013697600004670","ISBN":"9789897587658","author":[{"dropping-particle":"","family":"Li","given":"Yunpeng","non-dropping-particle":"","parse-names":false,"suffix":""}],"id":"ITEM-1","issue":"Icdse","issued":{"date-parts":[["2025"]]},"page":"372-378","title":"Comparative Analysis of Time Series Models for Forecasting the U.S. Unemployment Rate: A Study of ARIMA, LSTM, and Intervention Approaches","type":"article-journal"},"uris":["http://www.mendeley.com/documents/?uuid=a77dab01-30a0-4b36-8354-bbc188c7c5f1"]}],"mendeley":{"formattedCitation":"[9]","plainTextFormattedCitation":"[9]","previouslyFormattedCitation":"[9]"},"properties":{"noteIndex":0},"schema":"https://github.com/citation-style-language/schema/raw/master/csl-citation.json"}</w:instrText>
      </w:r>
      <w:r w:rsidR="003208A1">
        <w:rPr>
          <w:rFonts w:ascii="Century Gothic" w:hAnsi="Century Gothic"/>
          <w:color w:val="000000"/>
          <w:sz w:val="18"/>
          <w:szCs w:val="18"/>
        </w:rPr>
        <w:fldChar w:fldCharType="separate"/>
      </w:r>
      <w:r w:rsidR="00F44C9B" w:rsidRPr="00F44C9B">
        <w:rPr>
          <w:rFonts w:ascii="Century Gothic" w:hAnsi="Century Gothic"/>
          <w:noProof/>
          <w:color w:val="000000"/>
          <w:sz w:val="18"/>
          <w:szCs w:val="18"/>
        </w:rPr>
        <w:t>[9]</w:t>
      </w:r>
      <w:r w:rsidR="003208A1">
        <w:rPr>
          <w:rFonts w:ascii="Century Gothic" w:hAnsi="Century Gothic"/>
          <w:color w:val="000000"/>
          <w:sz w:val="18"/>
          <w:szCs w:val="18"/>
        </w:rPr>
        <w:fldChar w:fldCharType="end"/>
      </w:r>
      <w:r w:rsidRPr="00257D4C">
        <w:rPr>
          <w:rFonts w:ascii="Century Gothic" w:hAnsi="Century Gothic"/>
          <w:color w:val="000000"/>
          <w:sz w:val="18"/>
          <w:szCs w:val="18"/>
        </w:rPr>
        <w:t xml:space="preserve">. Interruption analysis </w:t>
      </w:r>
      <w:r w:rsidRPr="00257D4C">
        <w:rPr>
          <w:rFonts w:ascii="Century Gothic" w:hAnsi="Century Gothic"/>
          <w:color w:val="000000"/>
          <w:sz w:val="18"/>
          <w:szCs w:val="18"/>
        </w:rPr>
        <w:t>is divided into two parts: permanent changes, which use the step function, and temporary changes, which use the pulse function. The step function in intervention analysis is generally used to measure the impact of government policies on economic activity, such as a country’s imports and exports. This approach can represent permanent changes, particularly those caused by the implementation of anti-dumping policies on specific products</w:t>
      </w:r>
      <w:r w:rsidRPr="00C56474">
        <w:rPr>
          <w:rFonts w:ascii="Century Gothic" w:hAnsi="Century Gothic"/>
          <w:color w:val="000000"/>
          <w:sz w:val="18"/>
          <w:szCs w:val="18"/>
          <w:vertAlign w:val="superscript"/>
        </w:rPr>
        <w:t>[</w:t>
      </w:r>
      <w:r w:rsidR="003208A1">
        <w:rPr>
          <w:rFonts w:ascii="Century Gothic" w:hAnsi="Century Gothic"/>
          <w:color w:val="000000"/>
          <w:sz w:val="18"/>
          <w:szCs w:val="18"/>
          <w:vertAlign w:val="superscript"/>
        </w:rPr>
        <w:t xml:space="preserve"> </w:t>
      </w:r>
      <w:r w:rsidR="003208A1">
        <w:rPr>
          <w:rFonts w:ascii="Century Gothic" w:hAnsi="Century Gothic"/>
          <w:color w:val="000000"/>
          <w:sz w:val="18"/>
          <w:szCs w:val="18"/>
          <w:vertAlign w:val="superscript"/>
        </w:rPr>
        <w:fldChar w:fldCharType="begin" w:fldLock="1"/>
      </w:r>
      <w:r w:rsidR="001D15DA">
        <w:rPr>
          <w:rFonts w:ascii="Century Gothic" w:hAnsi="Century Gothic"/>
          <w:color w:val="000000"/>
          <w:sz w:val="18"/>
          <w:szCs w:val="18"/>
          <w:vertAlign w:val="superscript"/>
        </w:rPr>
        <w:instrText>ADDIN CSL_CITATION {"citationItems":[{"id":"ITEM-1","itemData":{"author":[{"dropping-particle":"","family":"Wan","given":"Yang","non-dropping-particle":"","parse-names":false,"suffix":""},{"dropping-particle":"","family":"Sun","given":"Changyou","non-dropping-particle":"","parse-names":false,"suffix":""}],"container-title":"Canadian Journal of Forest Research","id":"ITEM-1","issue":"7","issued":{"date-parts":[["2010"]]},"title":"Intervention analysis of the antidumpinginvestigation on wooden bedroom furniture imports from china","type":"article-journal","volume":"40"},"uris":["http://www.mendeley.com/documents/?uuid=c0308e86-bf06-420e-ba4a-aa9215547f82"]}],"mendeley":{"formattedCitation":"[10]","plainTextFormattedCitation":"[10]","previouslyFormattedCitation":"[10]"},"properties":{"noteIndex":0},"schema":"https://github.com/citation-style-language/schema/raw/master/csl-citation.json"}</w:instrText>
      </w:r>
      <w:r w:rsidR="003208A1">
        <w:rPr>
          <w:rFonts w:ascii="Century Gothic" w:hAnsi="Century Gothic"/>
          <w:color w:val="000000"/>
          <w:sz w:val="18"/>
          <w:szCs w:val="18"/>
          <w:vertAlign w:val="superscript"/>
        </w:rPr>
        <w:fldChar w:fldCharType="separate"/>
      </w:r>
      <w:r w:rsidR="00F44C9B" w:rsidRPr="00F44C9B">
        <w:rPr>
          <w:rFonts w:ascii="Century Gothic" w:hAnsi="Century Gothic"/>
          <w:noProof/>
          <w:color w:val="000000"/>
          <w:sz w:val="18"/>
          <w:szCs w:val="18"/>
        </w:rPr>
        <w:t>[10]</w:t>
      </w:r>
      <w:r w:rsidR="003208A1">
        <w:rPr>
          <w:rFonts w:ascii="Century Gothic" w:hAnsi="Century Gothic"/>
          <w:color w:val="000000"/>
          <w:sz w:val="18"/>
          <w:szCs w:val="18"/>
          <w:vertAlign w:val="superscript"/>
        </w:rPr>
        <w:fldChar w:fldCharType="end"/>
      </w:r>
      <w:r w:rsidRPr="00257D4C">
        <w:rPr>
          <w:rFonts w:ascii="Century Gothic" w:hAnsi="Century Gothic"/>
          <w:color w:val="000000"/>
          <w:sz w:val="18"/>
          <w:szCs w:val="18"/>
        </w:rPr>
        <w:t xml:space="preserve">. </w:t>
      </w:r>
      <w:r w:rsidR="0075066D" w:rsidRPr="0075066D">
        <w:rPr>
          <w:rFonts w:ascii="Century Gothic" w:hAnsi="Century Gothic"/>
          <w:color w:val="000000"/>
          <w:sz w:val="18"/>
          <w:szCs w:val="18"/>
        </w:rPr>
        <w:t>Therefore, this intervention analysis is expected to be used to measure the direct impact of Indonesia’s nickel export reduction policy, announced on December 19, 2025</w:t>
      </w:r>
      <w:r w:rsidR="0075066D">
        <w:rPr>
          <w:rFonts w:ascii="Century Gothic" w:hAnsi="Century Gothic"/>
          <w:color w:val="000000"/>
          <w:sz w:val="18"/>
          <w:szCs w:val="18"/>
        </w:rPr>
        <w:t xml:space="preserve"> </w:t>
      </w:r>
      <w:r w:rsidR="0075066D" w:rsidRPr="0075066D">
        <w:rPr>
          <w:rFonts w:ascii="Century Gothic" w:hAnsi="Century Gothic"/>
          <w:color w:val="000000"/>
          <w:sz w:val="18"/>
          <w:szCs w:val="18"/>
        </w:rPr>
        <w:t xml:space="preserve"> by predicting the stock price of PT Vale </w:t>
      </w:r>
      <w:proofErr w:type="spellStart"/>
      <w:r w:rsidR="0075066D" w:rsidRPr="0075066D">
        <w:rPr>
          <w:rFonts w:ascii="Century Gothic" w:hAnsi="Century Gothic"/>
          <w:color w:val="000000"/>
          <w:sz w:val="18"/>
          <w:szCs w:val="18"/>
        </w:rPr>
        <w:t>Tbk</w:t>
      </w:r>
      <w:proofErr w:type="spellEnd"/>
      <w:r w:rsidR="0075066D" w:rsidRPr="0075066D">
        <w:rPr>
          <w:rFonts w:ascii="Century Gothic" w:hAnsi="Century Gothic"/>
          <w:color w:val="000000"/>
          <w:sz w:val="18"/>
          <w:szCs w:val="18"/>
        </w:rPr>
        <w:t>.</w:t>
      </w:r>
    </w:p>
    <w:p w14:paraId="536E3628" w14:textId="1B24C123" w:rsidR="0084393A" w:rsidRPr="0084393A" w:rsidRDefault="0084393A" w:rsidP="006E2E32">
      <w:pPr>
        <w:ind w:firstLine="284"/>
        <w:rPr>
          <w:rFonts w:ascii="Century Gothic" w:hAnsi="Century Gothic"/>
          <w:sz w:val="18"/>
          <w:szCs w:val="18"/>
        </w:rPr>
      </w:pPr>
      <w:r w:rsidRPr="0084393A">
        <w:rPr>
          <w:rFonts w:ascii="Century Gothic" w:hAnsi="Century Gothic"/>
          <w:sz w:val="18"/>
          <w:szCs w:val="18"/>
        </w:rPr>
        <w:t xml:space="preserve">The step function captures permanent level shifts with precision, but its deployment within the classical ARIMA framework carries a fundamental constraint. ARIMA requires linearity and stationarity conditions that equity markets routinely violate, given their propensity for nonlinear dependencies and time-varying volatility </w:t>
      </w:r>
      <w:r w:rsidR="003208A1">
        <w:rPr>
          <w:rFonts w:ascii="Century Gothic" w:hAnsi="Century Gothic"/>
          <w:sz w:val="18"/>
          <w:szCs w:val="18"/>
        </w:rPr>
        <w:fldChar w:fldCharType="begin" w:fldLock="1"/>
      </w:r>
      <w:r w:rsidR="001D15DA">
        <w:rPr>
          <w:rFonts w:ascii="Century Gothic" w:hAnsi="Century Gothic"/>
          <w:sz w:val="18"/>
          <w:szCs w:val="18"/>
        </w:rPr>
        <w:instrText>ADDIN CSL_CITATION {"citationItems":[{"id":"ITEM-1","itemData":{"DOI":"10.1016/j.omega.2004.07.024","ISSN":"03050483","abstract":"Traditionally, the autoregressive integrated moving average (ARIMA) model has been one of the most widely used linear models in time series forecasting. However, the ARIMA model cannot easily capture the nonlinear patterns. Support vector machines (SVMs), a novel neural network technique, have been successfully applied in solving nonlinear regression estimation problems. Therefore, this investigation proposes a hybrid methodology that exploits the unique strength of the ARIMA model and the SVMs model in forecasting stock prices problems. Real data sets of stock prices were used to examine the forecasting accuracy of the proposed model. The results of computational tests are very promising. © 2004 Elsevier Ltd. All rights reserved.","author":[{"dropping-particle":"","family":"Pai","given":"Ping Feng","non-dropping-particle":"","parse-names":false,"suffix":""},{"dropping-particle":"","family":"Lin","given":"Chih Sheng","non-dropping-particle":"","parse-names":false,"suffix":""}],"container-title":"Omega","id":"ITEM-1","issue":"6","issued":{"date-parts":[["2005"]]},"page":"497-505","title":"A hybrid ARIMA and support vector machines model in stock price forecasting","type":"article-journal","volume":"33"},"uris":["http://www.mendeley.com/documents/?uuid=911c758a-bffc-4099-9b9e-c055d627a5f6"]}],"mendeley":{"formattedCitation":"[11]","plainTextFormattedCitation":"[11]","previouslyFormattedCitation":"[11]"},"properties":{"noteIndex":0},"schema":"https://github.com/citation-style-language/schema/raw/master/csl-citation.json"}</w:instrText>
      </w:r>
      <w:r w:rsidR="003208A1">
        <w:rPr>
          <w:rFonts w:ascii="Century Gothic" w:hAnsi="Century Gothic"/>
          <w:sz w:val="18"/>
          <w:szCs w:val="18"/>
        </w:rPr>
        <w:fldChar w:fldCharType="separate"/>
      </w:r>
      <w:r w:rsidR="00F44C9B" w:rsidRPr="00F44C9B">
        <w:rPr>
          <w:rFonts w:ascii="Century Gothic" w:hAnsi="Century Gothic"/>
          <w:noProof/>
          <w:sz w:val="18"/>
          <w:szCs w:val="18"/>
        </w:rPr>
        <w:t>[11]</w:t>
      </w:r>
      <w:r w:rsidR="003208A1">
        <w:rPr>
          <w:rFonts w:ascii="Century Gothic" w:hAnsi="Century Gothic"/>
          <w:sz w:val="18"/>
          <w:szCs w:val="18"/>
        </w:rPr>
        <w:fldChar w:fldCharType="end"/>
      </w:r>
      <w:r w:rsidRPr="0084393A">
        <w:rPr>
          <w:rFonts w:ascii="Century Gothic" w:hAnsi="Century Gothic"/>
          <w:sz w:val="18"/>
          <w:szCs w:val="18"/>
        </w:rPr>
        <w:t xml:space="preserve">. Support Vector Regression (SVR) was developed to circumvent exactly these limitations. Grounded in </w:t>
      </w:r>
      <w:proofErr w:type="spellStart"/>
      <w:r w:rsidRPr="0084393A">
        <w:rPr>
          <w:rFonts w:ascii="Century Gothic" w:hAnsi="Century Gothic"/>
          <w:sz w:val="18"/>
          <w:szCs w:val="18"/>
        </w:rPr>
        <w:t>Vapnik’s</w:t>
      </w:r>
      <w:proofErr w:type="spellEnd"/>
      <w:r w:rsidRPr="0084393A">
        <w:rPr>
          <w:rFonts w:ascii="Century Gothic" w:hAnsi="Century Gothic"/>
          <w:sz w:val="18"/>
          <w:szCs w:val="18"/>
        </w:rPr>
        <w:t xml:space="preserve"> (1995) structural risk </w:t>
      </w:r>
      <w:proofErr w:type="spellStart"/>
      <w:r w:rsidRPr="0084393A">
        <w:rPr>
          <w:rFonts w:ascii="Century Gothic" w:hAnsi="Century Gothic"/>
          <w:sz w:val="18"/>
          <w:szCs w:val="18"/>
        </w:rPr>
        <w:t>minimisation</w:t>
      </w:r>
      <w:proofErr w:type="spellEnd"/>
      <w:r w:rsidRPr="0084393A">
        <w:rPr>
          <w:rFonts w:ascii="Century Gothic" w:hAnsi="Century Gothic"/>
          <w:sz w:val="18"/>
          <w:szCs w:val="18"/>
        </w:rPr>
        <w:t xml:space="preserve"> principle </w:t>
      </w:r>
      <w:r w:rsidR="003208A1">
        <w:rPr>
          <w:rFonts w:ascii="Century Gothic" w:hAnsi="Century Gothic"/>
          <w:sz w:val="18"/>
          <w:szCs w:val="18"/>
        </w:rPr>
        <w:fldChar w:fldCharType="begin" w:fldLock="1"/>
      </w:r>
      <w:r w:rsidR="001D15DA">
        <w:rPr>
          <w:rFonts w:ascii="Century Gothic" w:hAnsi="Century Gothic"/>
          <w:sz w:val="18"/>
          <w:szCs w:val="18"/>
        </w:rPr>
        <w:instrText>ADDIN CSL_CITATION {"citationItems":[{"id":"ITEM-1","itemData":{"DOI":"https://doi.org/10.1007/978-1-4757-3264-1","ISBN":"9781441931603","author":[{"dropping-particle":"","family":"Vapnik","given":"Vladimir N.","non-dropping-particle":"","parse-names":false,"suffix":""}],"id":"ITEM-1","issued":{"date-parts":[["2000"]]},"title":"Statistics for Engineering and Information Science) Vladimir N. Vapnik - The Nature of Statistical Learning Theory-Springer (2000).pdf","type":"book"},"uris":["http://www.mendeley.com/documents/?uuid=5a101e62-556b-45b3-a1fd-7ccc9a2462ff"]}],"mendeley":{"formattedCitation":"[12]","plainTextFormattedCitation":"[12]","previouslyFormattedCitation":"[12]"},"properties":{"noteIndex":0},"schema":"https://github.com/citation-style-language/schema/raw/master/csl-citation.json"}</w:instrText>
      </w:r>
      <w:r w:rsidR="003208A1">
        <w:rPr>
          <w:rFonts w:ascii="Century Gothic" w:hAnsi="Century Gothic"/>
          <w:sz w:val="18"/>
          <w:szCs w:val="18"/>
        </w:rPr>
        <w:fldChar w:fldCharType="separate"/>
      </w:r>
      <w:r w:rsidR="00F44C9B" w:rsidRPr="00F44C9B">
        <w:rPr>
          <w:rFonts w:ascii="Century Gothic" w:hAnsi="Century Gothic"/>
          <w:noProof/>
          <w:sz w:val="18"/>
          <w:szCs w:val="18"/>
        </w:rPr>
        <w:t>[12]</w:t>
      </w:r>
      <w:r w:rsidR="003208A1">
        <w:rPr>
          <w:rFonts w:ascii="Century Gothic" w:hAnsi="Century Gothic"/>
          <w:sz w:val="18"/>
          <w:szCs w:val="18"/>
        </w:rPr>
        <w:fldChar w:fldCharType="end"/>
      </w:r>
      <w:r w:rsidRPr="0084393A">
        <w:rPr>
          <w:rFonts w:ascii="Century Gothic" w:hAnsi="Century Gothic"/>
          <w:sz w:val="18"/>
          <w:szCs w:val="18"/>
        </w:rPr>
        <w:t xml:space="preserve">, SVR maps inputs through kernel functions into a high-dimensional feature space, enabling the approximation of complex nonlinear relationships without distributional assumptions. Its ε-insensitive loss function further confers robustness to the noise and outliers characteristic of financial time series </w:t>
      </w:r>
      <w:r w:rsidR="001F75DD">
        <w:rPr>
          <w:rFonts w:ascii="Century Gothic" w:hAnsi="Century Gothic"/>
          <w:sz w:val="18"/>
          <w:szCs w:val="18"/>
          <w:vertAlign w:val="superscript"/>
        </w:rPr>
        <w:fldChar w:fldCharType="begin" w:fldLock="1"/>
      </w:r>
      <w:r w:rsidR="001F75DD">
        <w:rPr>
          <w:rFonts w:ascii="Century Gothic" w:hAnsi="Century Gothic"/>
          <w:sz w:val="18"/>
          <w:szCs w:val="18"/>
          <w:vertAlign w:val="superscript"/>
        </w:rPr>
        <w:instrText>ADDIN CSL_CITATION {"citationItems":[{"id":"ITEM-1","itemData":{"DOI":"https://doi.org/10.1023/B:STCO.0000035301.49549.88","author":[{"dropping-particle":"","family":"Smola","given":"Alex","non-dropping-particle":"","parse-names":false,"suffix":""},{"dropping-particle":"","family":"SCHOLKOPF","given":"BERNHARD","non-dropping-particle":"","parse-names":false,"suffix":""}],"container-title":"Statistics and Computing","id":"ITEM-1","issue":"3","issued":{"date-parts":[["2004"]]},"page":"199-222","title":"A tutorial on support vector regression","type":"article-journal","volume":"14"},"uris":["http://www.mendeley.com/documents/?uuid=c379f441-d6ef-4147-804b-9562b6760a11"]}],"mendeley":{"formattedCitation":"[13]","plainTextFormattedCitation":"[13]","previouslyFormattedCitation":"[13]"},"properties":{"noteIndex":0},"schema":"https://github.com/citation-style-language/schema/raw/master/csl-citation.json"}</w:instrText>
      </w:r>
      <w:r w:rsidR="001F75DD">
        <w:rPr>
          <w:rFonts w:ascii="Century Gothic" w:hAnsi="Century Gothic"/>
          <w:sz w:val="18"/>
          <w:szCs w:val="18"/>
          <w:vertAlign w:val="superscript"/>
        </w:rPr>
        <w:fldChar w:fldCharType="separate"/>
      </w:r>
      <w:r w:rsidR="001F75DD" w:rsidRPr="001F75DD">
        <w:rPr>
          <w:rFonts w:ascii="Century Gothic" w:hAnsi="Century Gothic"/>
          <w:noProof/>
          <w:sz w:val="18"/>
          <w:szCs w:val="18"/>
        </w:rPr>
        <w:t>[13]</w:t>
      </w:r>
      <w:r w:rsidR="001F75DD">
        <w:rPr>
          <w:rFonts w:ascii="Century Gothic" w:hAnsi="Century Gothic"/>
          <w:sz w:val="18"/>
          <w:szCs w:val="18"/>
          <w:vertAlign w:val="superscript"/>
        </w:rPr>
        <w:fldChar w:fldCharType="end"/>
      </w:r>
      <w:r w:rsidRPr="0084393A">
        <w:rPr>
          <w:rFonts w:ascii="Century Gothic" w:hAnsi="Century Gothic"/>
          <w:sz w:val="18"/>
          <w:szCs w:val="18"/>
        </w:rPr>
        <w:t>. These theoretical advantages have proven empirically consequential: SVR outperforms ARIMA in stock price forecasting under high-volatility conditions</w:t>
      </w:r>
      <w:r w:rsidR="001F75DD">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{"citationItems":[{"id":"ITEM-1","itemData":{"DOI":"10.13189/ms.2023.110207","ISSN":"23322144","abstract":"Univariate time series forecasting is a crucial machine learning issue across many fields notably sentiment analysis, economy, medicine, agriculture, and finance. In this working paper, we tackled comparing the Support Vector Regression (SVR) to the traditional Autoregressive Integrated Moving Average (ARIMA) algorithms in terms of forecasting through a real case study. In fact, the data set used in this investigation has been extracted from the World Bank. The target time series is the American Foreign direct investment, net outflows (% of GDP) which includes the data for 50 years from 1972 to 2021. For analytical and comparison purposes, all the compilations have been done using the R programming language for Windows 10. The statistical findings revealed that, in short-term prediction, the forecast accuracy of both algorithms reduces in terms of error accuracy, significantly. Comparatively, the analysis conducted in this investigation demonstrates that the machine learning algorithms, especially the SVM one perform better than the ARIMA in short-term forecasting since its accuracy functions are the lowest. Thus, we highly recommend future research to compare the advanced machine learning algorithms especially the recurrent neural network algorithms with the classical algorithms, especially with the ARIMA approach in order to choose the best algorithm in terms of results and predictive performance.","author":[{"dropping-particle":"","family":"Jouilil","given":"Youness","non-dropping-particle":"","parse-names":false,"suffix":""},{"dropping-particle":"","family":"Mentagui","given":"Driss","non-dropping-particle":"","parse-names":false,"suffix":""}],"container-title":"Mathematics and Statistics","id":"ITEM-1","issue":"2","issued":{"date-parts":[["2023"]]},"page":"294-299","title":"Comparing The Forecasting Accuracy Metrics Of Support Vector Regression and ARIMA Algorithms For Non-Stationary Time Process","type":"article-journal","volume":"11"},"uris":["http://www.mendeley.com/documents/?uuid=23efb4d6-e60b-4103-9545-b2f2eccc7af8"]}],"mendeley":{"formattedCitation":"[14]","plainTextFormattedCitation":"[14]","previouslyFormattedCitation":"[14]"},"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[14]</w:t>
      </w:r>
      <w:r w:rsidR="001F75DD">
        <w:rPr>
          <w:rFonts w:ascii="Century Gothic" w:hAnsi="Century Gothic"/>
          <w:sz w:val="18"/>
          <w:szCs w:val="18"/>
        </w:rPr>
        <w:fldChar w:fldCharType="end"/>
      </w:r>
      <w:r w:rsidR="001F75DD">
        <w:rPr>
          <w:rFonts w:ascii="Century Gothic" w:hAnsi="Century Gothic"/>
          <w:sz w:val="18"/>
          <w:szCs w:val="18"/>
        </w:rPr>
        <w:t>;</w:t>
      </w:r>
      <w:r w:rsidRPr="0084393A">
        <w:rPr>
          <w:rFonts w:ascii="Century Gothic" w:hAnsi="Century Gothic"/>
          <w:sz w:val="18"/>
          <w:szCs w:val="18"/>
        </w:rPr>
        <w:t xml:space="preserve"> a finding that extends to the Indonesian equity market in particular</w:t>
      </w:r>
      <w:r w:rsidR="001F75DD">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{"citationItems":[{"id":"ITEM-1","itemData":{"DOI":"10.18280/mmep.120711","ISSN":"23690747","abstract":"This study aims to compare the forecasting performance of Autoregressive Integrated Moving Average (ARIMA) and Support Vector Regression (SVR) models in predicting the monthly stock prices of PT. Telkom Indonesia (TLKM), one of Indonesia's leading state-owned enterprises. Utilizing historical data from January 2018 to December 2022, the models are evaluated based on their forecasting precision using Mean Absolute Percentage Error (MAPE) and Root Mean Square Error (RMSE) as investor-grade performance metrics. The ARIMA (2,1,2) model was selected through Box–Jenkins methodology, while the SVR was optimized using a linear kernel and tuned hyperparameters. The results demonstrate that ARIMA outperforms SVR in both MAPE (2.01%) and RMSE (64.38), indicating better adaptability to the structured linear patterns found in the stock price series. Assumption-based forecasting simulations, extended to the year 2026, further suggest ARIMA’s relative stability, although future projections remain subject to structural and market uncertainties. The findings emphasize the continued relevance of classical statistical models in investment-grade forecasting, where investor-grade is defined as forecasting precision achieving MAPE values below 5%, supporting decision-support applications in emerging markets.","author":[{"dropping-particle":"","family":"Amalia","given":"Alfi","non-dropping-particle":"","parse-names":false,"suffix":""},{"dropping-particle":"","family":"Hayati","given":"Isra","non-dropping-particle":"","parse-names":false,"suffix":""},{"dropping-particle":"","family":"Afandi","given":"Ahmad","non-dropping-particle":"","parse-names":false,"suffix":""},{"dropping-particle":"","family":"Lubis","given":"Andrew Satria","non-dropping-particle":"","parse-names":false,"suffix":""},{"dropping-particle":"","family":"Marpaung","given":"Jonathan Liviera","non-dropping-particle":"","parse-names":false,"suffix":""}],"container-title":"Mathematical Modelling of Engineering Problems","id":"ITEM-1","issue":"7","issued":{"date-parts":[["2025"]]},"page":"2307-2315","title":"Comparative Forecasting of Indonesian Stock Prices Using ARIMA and Support Vector Regression: A Statistical Learning Approach","type":"article-journal","volume":"12"},"uris":["http://www.mendeley.com/documents/?uuid=6a1ca463-0ba6-4f52-9402-9bd6e0d1b8eb"]}],"mendeley":{"formattedCitation":"[15]","plainTextFormattedCitation":"[15]","previouslyFormattedCitation":"[15]"},"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[15]</w:t>
      </w:r>
      <w:r w:rsidR="001F75DD">
        <w:rPr>
          <w:rFonts w:ascii="Century Gothic" w:hAnsi="Century Gothic"/>
          <w:sz w:val="18"/>
          <w:szCs w:val="18"/>
        </w:rPr>
        <w:fldChar w:fldCharType="end"/>
      </w:r>
      <w:r w:rsidRPr="0084393A">
        <w:rPr>
          <w:rFonts w:ascii="Century Gothic" w:hAnsi="Century Gothic"/>
          <w:sz w:val="18"/>
          <w:szCs w:val="18"/>
        </w:rPr>
        <w:t>.</w:t>
      </w:r>
    </w:p>
    <w:p w14:paraId="462084D5" w14:textId="3EE4D668" w:rsidR="0084393A" w:rsidRPr="0084393A" w:rsidRDefault="0084393A" w:rsidP="006E2E32">
      <w:pPr>
        <w:ind w:firstLine="284"/>
        <w:rPr>
          <w:rFonts w:ascii="Century Gothic" w:hAnsi="Century Gothic"/>
          <w:sz w:val="18"/>
          <w:szCs w:val="18"/>
        </w:rPr>
      </w:pPr>
      <w:r w:rsidRPr="0084393A">
        <w:rPr>
          <w:rFonts w:ascii="Century Gothic" w:hAnsi="Century Gothic"/>
          <w:sz w:val="18"/>
          <w:szCs w:val="18"/>
        </w:rPr>
        <w:t>Standard SVR, however, has no built-in capacity to handle structural breaks at known intervention points. Because the kernel feature space treats all observations as draws from the same underlying process, pre- and post-intervention data are conflated rather than distinguished. For series that contain a policy-induced level shift, this produces systematically biased forecasts</w:t>
      </w:r>
      <w:r w:rsidR="001F75DD">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{"citationItems":[{"id":"ITEM-1","itemData":{"DOI":"10.1007/978-0-387-34747-9_16","ISBN":"0387346554","ISSN":"15715736","abstract":"Recently, novel learning algorithms such as Support Vector Regression (SVR) and Neural Networks (NN) have received increasing attention in forecasting and time series prediction, offering attractive theoretical properties and successful applications in several real world problem domains. Commonly, time series are composed of the combination of regular and irregular patterns such as trends and cycles, seasonal variations, level shifts, outliers or pulses and structural breaks, among others. Conventional parametric statistical methods are capable of forecasting a particular combination of patterns through ex ante selection of an adequate model form and specific data preprocessing. Thus, the capability of semi-parametric methods from computational intelligence to predict basic time series patterns without model selection and preprocessing is of particular relevance in evaluating their contribution to forecasting. This paper proposes an empirical comparison between NN and SVR models using radial basis function (RBF) and linear kernel functions, by analyzing their predictive power on five artificial time series: stationary, additive seasonality, linear trend, linear trend with additive seasonality, and linear trend with multiplicative seasonality. Results obtained show that RBF SVR models have problems in extrapolating trends, while NN and linear SVR models without data preprocessing provide robust accuracy across all patterns and clearly outperform the commonly used RBF SVR on trended time series. © 2006 International Federation for Information Processing.","author":[{"dropping-particle":"","family":"Crone","given":"Sven F.","non-dropping-particle":"","parse-names":false,"suffix":""},{"dropping-particle":"","family":"Guajardo","given":"Jose","non-dropping-particle":"","parse-names":false,"suffix":""},{"dropping-particle":"","family":"Weber","given":"Richard","non-dropping-particle":"","parse-names":false,"suffix":""}],"container-title":"IFIP International Federation for Information Processing","id":"ITEM-1","issued":{"date-parts":[["2006"]]},"page":"149-158","title":"A study on the ability of Support Vector Regression and Neural Networks to forecast basic time series patterns","type":"article-journal","volume":"217"},"uris":["http://www.mendeley.com/documents/?uuid=32288190-6d22-4861-9f58-8508eac5c9c8"]}],"mendeley":{"formattedCitation":"[16]","plainTextFormattedCitation":"[16]","previouslyFormattedCitation":"[16]"},"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[16]</w:t>
      </w:r>
      <w:r w:rsidR="001F75DD">
        <w:rPr>
          <w:rFonts w:ascii="Century Gothic" w:hAnsi="Century Gothic"/>
          <w:sz w:val="18"/>
          <w:szCs w:val="18"/>
        </w:rPr>
        <w:fldChar w:fldCharType="end"/>
      </w:r>
      <w:r w:rsidRPr="0084393A">
        <w:rPr>
          <w:rFonts w:ascii="Century Gothic" w:hAnsi="Century Gothic"/>
          <w:sz w:val="18"/>
          <w:szCs w:val="18"/>
        </w:rPr>
        <w:t xml:space="preserve">. The present study addresses this gap through Support Vector Regression with Intervention Dummy Variables (SVRX), in which the step function indicator, defined as </w:t>
      </w:r>
      <w:r w:rsidRPr="0084393A">
        <w:rPr>
          <w:rFonts w:ascii="Century Gothic" w:hAnsi="Century Gothic"/>
          <w:i/>
          <w:iCs/>
          <w:sz w:val="18"/>
          <w:szCs w:val="18"/>
        </w:rPr>
        <w:t>X</w:t>
      </w:r>
      <w:r w:rsidRPr="0084393A">
        <w:rPr>
          <w:rFonts w:ascii="Segoe UI Symbol" w:hAnsi="Segoe UI Symbol" w:cs="Segoe UI Symbol"/>
          <w:i/>
          <w:iCs/>
          <w:sz w:val="18"/>
          <w:szCs w:val="18"/>
        </w:rPr>
        <w:t>ₜ</w:t>
      </w:r>
      <w:r w:rsidRPr="0084393A">
        <w:rPr>
          <w:rFonts w:ascii="Century Gothic" w:hAnsi="Century Gothic"/>
          <w:sz w:val="18"/>
          <w:szCs w:val="18"/>
        </w:rPr>
        <w:t xml:space="preserve"> = 0 for </w:t>
      </w:r>
      <w:r w:rsidRPr="0084393A">
        <w:rPr>
          <w:rFonts w:ascii="Century Gothic" w:hAnsi="Century Gothic"/>
          <w:i/>
          <w:iCs/>
          <w:sz w:val="18"/>
          <w:szCs w:val="18"/>
        </w:rPr>
        <w:t>t</w:t>
      </w:r>
      <w:r w:rsidRPr="0084393A">
        <w:rPr>
          <w:rFonts w:ascii="Century Gothic" w:hAnsi="Century Gothic"/>
          <w:sz w:val="18"/>
          <w:szCs w:val="18"/>
        </w:rPr>
        <w:t xml:space="preserve"> &lt; </w:t>
      </w:r>
      <w:r w:rsidRPr="0084393A">
        <w:rPr>
          <w:rFonts w:ascii="Century Gothic" w:hAnsi="Century Gothic"/>
          <w:i/>
          <w:iCs/>
          <w:sz w:val="18"/>
          <w:szCs w:val="18"/>
        </w:rPr>
        <w:t>T</w:t>
      </w:r>
      <w:r w:rsidRPr="0084393A">
        <w:rPr>
          <w:rFonts w:ascii="Century Gothic" w:hAnsi="Century Gothic"/>
          <w:sz w:val="18"/>
          <w:szCs w:val="18"/>
        </w:rPr>
        <w:t xml:space="preserve"> and </w:t>
      </w:r>
      <w:r w:rsidRPr="0084393A">
        <w:rPr>
          <w:rFonts w:ascii="Century Gothic" w:hAnsi="Century Gothic"/>
          <w:i/>
          <w:iCs/>
          <w:sz w:val="18"/>
          <w:szCs w:val="18"/>
        </w:rPr>
        <w:t>X</w:t>
      </w:r>
      <w:r w:rsidRPr="0084393A">
        <w:rPr>
          <w:rFonts w:ascii="Segoe UI Symbol" w:hAnsi="Segoe UI Symbol" w:cs="Segoe UI Symbol"/>
          <w:i/>
          <w:iCs/>
          <w:sz w:val="18"/>
          <w:szCs w:val="18"/>
        </w:rPr>
        <w:t>ₜ</w:t>
      </w:r>
      <w:r w:rsidRPr="0084393A">
        <w:rPr>
          <w:rFonts w:ascii="Century Gothic" w:hAnsi="Century Gothic"/>
          <w:sz w:val="18"/>
          <w:szCs w:val="18"/>
        </w:rPr>
        <w:t xml:space="preserve"> = 1 for </w:t>
      </w:r>
      <w:r w:rsidRPr="0084393A">
        <w:rPr>
          <w:rFonts w:ascii="Century Gothic" w:hAnsi="Century Gothic"/>
          <w:i/>
          <w:iCs/>
          <w:sz w:val="18"/>
          <w:szCs w:val="18"/>
        </w:rPr>
        <w:t>t</w:t>
      </w:r>
      <w:r w:rsidRPr="0084393A">
        <w:rPr>
          <w:rFonts w:ascii="Century Gothic" w:hAnsi="Century Gothic"/>
          <w:sz w:val="18"/>
          <w:szCs w:val="18"/>
        </w:rPr>
        <w:t xml:space="preserve"> ≥ </w:t>
      </w:r>
      <w:r w:rsidRPr="0084393A">
        <w:rPr>
          <w:rFonts w:ascii="Century Gothic" w:hAnsi="Century Gothic"/>
          <w:i/>
          <w:iCs/>
          <w:sz w:val="18"/>
          <w:szCs w:val="18"/>
        </w:rPr>
        <w:t>T</w:t>
      </w:r>
      <w:r w:rsidRPr="0084393A">
        <w:rPr>
          <w:rFonts w:ascii="Century Gothic" w:hAnsi="Century Gothic"/>
          <w:sz w:val="18"/>
          <w:szCs w:val="18"/>
        </w:rPr>
        <w:t>, is incorporated as an exogenous input feature within the SVR architecture. By partitioning the input space along the intervention boundary, SVRX learns distinct regime representations while preserving SVR’s nonlinear approximation capacity. This design is consistent with recent evidence that dummy variable augmentation yields meaningful forecast improvements in time series subject to known structural shocks</w:t>
      </w:r>
      <w:r w:rsidR="00A2708B">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{"citationItems":[{"id":"ITEM-1","itemData":{"DOI":"10.1016/j.jmse.2022.09.001","ISSN":"25895532","abstract":"This study used dummy variables to measure the influence of day-of-the-week effects and structural breaks on volatility. Considering day-of-the-week effects, structural breaks, or both, we propose three classes of HAR models to forecast electricity volatility based on existing HAR models. The estimation results of the models showed that day-of-the-week effects only improve the fitting ability of HAR models for electricity volatility forecasting at the daily horizon, whereas structural breaks can improve the in-sample performance of HAR models when forecasting electricity volatility at daily, weekly, and monthly horizons. The out-of-sample analysis indicated that both day-of-the-week effects and structural breaks contain additional ex ante information for predicting electricity volatility, and in most cases, dummy variables used to measure structural breaks contain more out-of-sample predictive information than those used to measure day-of-the-week effects. The out-of-sample results were robust across three different methods. More importantly, we argue that adding dummy variables to measure day-of-the-week effects and structural breaks can improve the performance of most other existing HAR models for volatility forecasting in the electricity market.","author":[{"dropping-particle":"","family":"Gong","given":"Xu","non-dropping-particle":"","parse-names":false,"suffix":""},{"dropping-particle":"","family":"Lin","given":"Boqiang","non-dropping-particle":"","parse-names":false,"suffix":""}],"container-title":"Journal of Management Science and Engineering","id":"ITEM-1","issue":"2","issued":{"date-parts":[["2023"]]},"page":"191-213","publisher":"China Science Publishing &amp; Media Ltd.","title":"Adding dummy variables: A simple approach for improved volatility forecasting in electricity market","type":"article-journal","volume":"8"},"uris":["http://www.mendeley.com/documents/?uuid=07130408-5a84-4d0d-b242-0948a670ca5e"]},{"id":"ITEM-2","itemData":{"DOI":"10.3390/economies12120352","ISSN":"22277099","abstract":"The TSpVARX model can be used in inflation and money outflow forecasting by accommodating the reciprocal relationship among endogenous variables, the influence of exogenous variables, inter-regional linkages, and the nonlinearity of the relationship between endogenous and predetermined variables. However, the impact of some events, such as Eid al-Fitr and fuel price adjustments, still cannot be accommodated in the TSpVARX model. This condition causes inflation and money outflow forecasting using TSpVARX to be unsatisfactory. Our study is to improve the forecasting performance of the TSpVARX model by adding subset and dummy variables. We use a 12th lag subset variable to capture seasonal effects and a dummy variable to represent fuel price changes. These additions enhance the model’s accuracy in forecasting inflation and money outflow by accounting for recurring patterns and specific events, like fuel price changes. Based on the RMSE values of the training and testing data, we can conclude that forecasting inflation and money outflow using TSpVARX with the addition of subset and dummy variables is better than the regular TSpVARX. The inflation and money outflow forecasting generated after the addition of subset and dummy variables are also more fluctuating as in the movement of the actual data.","author":[{"dropping-particle":"","family":"Setiawan","given":"Setiawan","non-dropping-particle":"","parse-names":false,"suffix":""},{"dropping-particle":"","family":"Sohibien","given":"Gama Putra Danu","non-dropping-particle":"","parse-names":false,"suffix":""},{"dropping-particle":"","family":"Prastyo","given":"Dedy Dwi","non-dropping-particle":"","parse-names":false,"suffix":""},{"dropping-particle":"","family":"Akbar","given":"Muhammad Sjahid","non-dropping-particle":"","parse-names":false,"suffix":""},{"dropping-particle":"","family":"Kamil","given":"Anton Abdulbasah","non-dropping-particle":"","parse-names":false,"suffix":""}],"container-title":"Economies","id":"ITEM-2","issue":"12","issued":{"date-parts":[["2024"]]},"title":"Addition of Subset and Dummy Variables in the Threshold Spatial Vector Autoregressive with Exogenous Variables Model to Forecast Inflation and Money Outflow","type":"article-journal","volume":"12"},"uris":["http://www.mendeley.com/documents/?uuid=f96ac4dd-631a-442e-a202-ef7a7db9878d"]}],"mendeley":{"formattedCitation":"[17], [18]","plainTextFormattedCitation":"[17], [18]","previouslyFormattedCitation":"[17], [18]"},"properties":{"noteIndex":0},"schema":"https://github.com/citation-style-language/schema/raw/master/csl-citation.json"}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[17], [18]</w:t>
      </w:r>
      <w:r w:rsidR="001F75DD">
        <w:rPr>
          <w:rFonts w:ascii="Century Gothic" w:hAnsi="Century Gothic"/>
          <w:sz w:val="18"/>
          <w:szCs w:val="18"/>
        </w:rPr>
        <w:fldChar w:fldCharType="end"/>
      </w:r>
      <w:r w:rsidR="001F75DD">
        <w:rPr>
          <w:rFonts w:ascii="Century Gothic" w:hAnsi="Century Gothic"/>
          <w:sz w:val="18"/>
          <w:szCs w:val="18"/>
        </w:rPr>
        <w:t>.</w:t>
      </w:r>
    </w:p>
    <w:p w14:paraId="6894B339" w14:textId="1F164E17" w:rsidR="0084393A" w:rsidRPr="0084393A" w:rsidRDefault="0084393A" w:rsidP="006E2E32">
      <w:pPr>
        <w:ind w:firstLine="284"/>
        <w:rPr>
          <w:rFonts w:ascii="Century Gothic" w:hAnsi="Century Gothic"/>
          <w:sz w:val="18"/>
          <w:szCs w:val="18"/>
        </w:rPr>
      </w:pPr>
      <w:r w:rsidRPr="0084393A">
        <w:rPr>
          <w:rFonts w:ascii="Century Gothic" w:hAnsi="Century Gothic"/>
          <w:sz w:val="18"/>
          <w:szCs w:val="18"/>
        </w:rPr>
        <w:t xml:space="preserve">Both step function intervention models and SVR-based approaches have been studied independently in financial time series forecasting. However, a comparative evaluation of the two within a unified framework has not been conducted, particularly for commodity-driven equities whose structural breaks originate from domestic export policy. According to </w:t>
      </w:r>
      <w:r w:rsidRPr="0084393A">
        <w:rPr>
          <w:rFonts w:ascii="Century Gothic" w:hAnsi="Century Gothic"/>
          <w:sz w:val="18"/>
          <w:szCs w:val="18"/>
        </w:rPr>
        <w:lastRenderedPageBreak/>
        <w:t>the given description, to the best of our knowledge, no study has directly compared a classical ARIMA step function intervention model against an SVRX specification on stock price data. This gap is practically consequential: practitioners selecting a forecasting model for policy-affected equity series face a real trade-off between the interpretability and explicit policy quantification offered by parametric intervention models, and the assumption-free nonlinear flexibility of machine learning alternatives. Without comparative empirical evidence, model selection remains ad hoc</w:t>
      </w:r>
      <w:r w:rsidR="001F75DD">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author":[{"dropping-particle":"","family":"Szostek","given":"Kamil","non-dropping-particle":"","parse-names":false,"suffix":""},{"dropping-particle":"","family":"Mazur","given":"Damian","non-dropping-particle":"","parse-names":false,"suffix":""},{"dropping-particle":"","family":"Drałus","given":"Grzegorg","non-dropping-particle":"","parse-names":false,"suffix":""},{"dropping-particle":"","family":"Kusznier","given":"Jacek Kusznier","non-dropping-particle":"","parse-names":false,"suffix":""}],"container-title":"Energies","id":"ITEM-1","issue":"September 2024","issued":{"date-parts":[["2024"]]},"page":"4803","title":"Models in Time Series Forecasting : A Case Study of Wind Farm Energy Production","type":"article-journal","volume":"17"},"uris":["http://www.mendeley.com/documents/?uuid=648dd187-bef7-472c-affb-d88d02bfdaa1"]}],"mendeley":{"formattedCitation":"[19]","plainTextFormattedCitation":"[19]","previouslyFormattedCitation":"[19]"},"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[19]</w:t>
      </w:r>
      <w:r w:rsidR="001F75DD">
        <w:rPr>
          <w:rFonts w:ascii="Century Gothic" w:hAnsi="Century Gothic"/>
          <w:sz w:val="18"/>
          <w:szCs w:val="18"/>
        </w:rPr>
        <w:fldChar w:fldCharType="end"/>
      </w:r>
      <w:r w:rsidRPr="0084393A">
        <w:rPr>
          <w:rFonts w:ascii="Century Gothic" w:hAnsi="Century Gothic"/>
          <w:sz w:val="18"/>
          <w:szCs w:val="18"/>
        </w:rPr>
        <w:t xml:space="preserve">. This gap is especially relevant for PT Vale Indonesia </w:t>
      </w:r>
      <w:proofErr w:type="spellStart"/>
      <w:r w:rsidRPr="0084393A">
        <w:rPr>
          <w:rFonts w:ascii="Century Gothic" w:hAnsi="Century Gothic"/>
          <w:sz w:val="18"/>
          <w:szCs w:val="18"/>
        </w:rPr>
        <w:t>Tbk</w:t>
      </w:r>
      <w:proofErr w:type="spellEnd"/>
      <w:r w:rsidRPr="0084393A">
        <w:rPr>
          <w:rFonts w:ascii="Century Gothic" w:hAnsi="Century Gothic"/>
          <w:sz w:val="18"/>
          <w:szCs w:val="18"/>
        </w:rPr>
        <w:t xml:space="preserve"> (INCO), whose stock price is acutely sensitive to global nickel price movements and Indonesia’s 2020 nickel ore export ban, a policy event that constitutes a clearly identifiable structural break in the pricing of mining equities on the Indonesia Stock Exchange</w:t>
      </w:r>
      <w:r w:rsidR="001F75DD">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{"citationItems":[{"id":"ITEM-1","itemData":{"DOI":"10.12075/j.issn.1004-4051.20242277","author":[{"dropping-particle":"","family":"Chang","given":"Liu","non-dropping-particle":"","parse-names":false,"suffix":""}],"container-title":"China Mining Magazine","id":"ITEM-1","issue":"2","issued":{"date-parts":[["2025"]]},"page":"79-87","title":"Indonesia’s nickel ore export ban: policy process, driving factors, and global impacts","type":"article-journal","volume":"34"},"uris":["http://www.mendeley.com/documents/?uuid=7b76fc10-fe5e-43bc-965b-839e22861427"]},{"id":"ITEM-2","itemData":{"ISSN":"2772-1970","abstract":"Indonesia, sebagai negara pemasok nikel terbesar di dunia, menetapkan tiga kebijakan terkait kegiatan ekspor bijih nikel untuk meningkatkan ekspor nikel olahan yang memiliki nilai tambah lebih tinggi (hilirisasi nikel). Penelitian ini bertujuan untuk menganalisis dampak kebijakan tersebut terhadap volume ekspor nikel olahan Indonesia selama Januari 2012-Desember 2023. Metode yang digunakan adalah interrupted time series analysis. Hasil pengujian menunjukkan bahwa kebijakan larangan ekspor bijih nikel pada tahun 2014 dapat menurunkan volume ekspor nikel olahan Indonesia pada bulan pertama pemberlakuan kebijakan. Penurunan tren volume ekspor nikel olahan Indonesia pada tahun 2017 hingga 2019 juga terjadi sebagai dampak pemberlakuan kebijakan relaksasi ekspor bijih nikel kadar &lt;1,7%. Sementara itu, kebijakan larangan ekspor bijih nikel kadar &lt;1,7% yang berlaku pada 1 Januari 2020 dapat meningkatkan tren volume ekspor nikel olahan Indonesia. Dengan demikian, kebijakan yang dapat mendukung program hilirisasi nikel adalah larangan ekspor bijih nikel kadar &lt;1,7% karena terbukti dapat meningkatkan ekspor nikel olahan Indonesia. Hal ini terjadi ketika kapasitas smelter nikel untuk mengolah bijih nikel semakin meningkat.","author":[{"dropping-particle":"","family":"Ananda","given":"Putri","non-dropping-particle":"","parse-names":false,"suffix":""},{"dropping-particle":"","family":"Wahyuni","given":"Ribut Nurul Tri","non-dropping-particle":"","parse-names":false,"suffix":""}],"container-title":"Seminar Nasional Official Statistics","id":"ITEM-2","issue":"1","issued":{"date-parts":[["2024"]]},"page":"173-182","title":"Impact of Indonesia's Nickel Ore Export Ban on Processed Nickel Exports: Interrupted Time Series Analysis","type":"article-journal"},"uris":["http://www.mendeley.com/documents/?uuid=ee38244e-590f-4015-9556-7a2c7866f147"]}],"mendeley":{"formattedCitation":"[20], [21]","plainTextFormattedCitation":"[20], [21]","previouslyFormattedCitation":"[20], [21]"},"properties":{"noteIndex":0},"schema":"https://github.com/citation-style-language/schema/raw/master/csl-citation.json"}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[20], [21]</w:t>
      </w:r>
      <w:r w:rsidR="001F75DD">
        <w:rPr>
          <w:rFonts w:ascii="Century Gothic" w:hAnsi="Century Gothic"/>
          <w:sz w:val="18"/>
          <w:szCs w:val="18"/>
        </w:rPr>
        <w:fldChar w:fldCharType="end"/>
      </w:r>
      <w:r w:rsidRPr="0084393A">
        <w:rPr>
          <w:rFonts w:ascii="Century Gothic" w:hAnsi="Century Gothic"/>
          <w:sz w:val="18"/>
          <w:szCs w:val="18"/>
        </w:rPr>
        <w:t xml:space="preserve">. Moreover, Amalia et al. </w:t>
      </w:r>
      <w:r w:rsidRPr="0084393A">
        <w:rPr>
          <w:rFonts w:ascii="Century Gothic" w:hAnsi="Century Gothic"/>
          <w:sz w:val="18"/>
          <w:szCs w:val="18"/>
          <w:vertAlign w:val="superscript"/>
        </w:rPr>
        <w:t>[15]</w:t>
      </w:r>
      <w:r w:rsidRPr="0084393A">
        <w:rPr>
          <w:rFonts w:ascii="Century Gothic" w:hAnsi="Century Gothic"/>
          <w:sz w:val="18"/>
          <w:szCs w:val="18"/>
        </w:rPr>
        <w:t xml:space="preserve"> explicitly recommend that future studies on Indonesian stock price forecasting incorporate structural break detection and develop decision-support frameworks that combine forecasting accuracy with actionable investment strategies, a direction this study directly addresses.</w:t>
      </w:r>
    </w:p>
    <w:p w14:paraId="2BAC755D" w14:textId="77777777" w:rsidR="000158B4" w:rsidRPr="0084393A" w:rsidRDefault="0084393A" w:rsidP="006E2E32">
      <w:pPr>
        <w:ind w:firstLine="284"/>
        <w:rPr>
          <w:rFonts w:ascii="Century Gothic" w:hAnsi="Century Gothic"/>
          <w:sz w:val="18"/>
          <w:szCs w:val="18"/>
        </w:rPr>
      </w:pPr>
      <w:r w:rsidRPr="0084393A">
        <w:rPr>
          <w:rFonts w:ascii="Century Gothic" w:hAnsi="Century Gothic"/>
          <w:sz w:val="18"/>
          <w:szCs w:val="18"/>
        </w:rPr>
        <w:t xml:space="preserve">Therefore, the main contribution of this paper is to comparatively study the performance of the step function intervention model and SVRX in forecasting the stock price of PT Vale Indonesia </w:t>
      </w:r>
      <w:proofErr w:type="spellStart"/>
      <w:r w:rsidRPr="0084393A">
        <w:rPr>
          <w:rFonts w:ascii="Century Gothic" w:hAnsi="Century Gothic"/>
          <w:sz w:val="18"/>
          <w:szCs w:val="18"/>
        </w:rPr>
        <w:t>Tbk</w:t>
      </w:r>
      <w:proofErr w:type="spellEnd"/>
      <w:r w:rsidRPr="0084393A">
        <w:rPr>
          <w:rFonts w:ascii="Century Gothic" w:hAnsi="Century Gothic"/>
          <w:sz w:val="18"/>
          <w:szCs w:val="18"/>
        </w:rPr>
        <w:t xml:space="preserve">, by considering the structural impact of Indonesia’s nickel export policy as an explicit intervention event. This study pursues three objectives: (1) applying a step function intervention model within the ARIMA framework to INCO stock prices; (2) developing and implementing SVRX by incorporating step function dummy variables as exogenous model inputs; and (3) evaluating the out-of-sample forecasting performance of both models through MAE, RMSE, and MAPE. The paper is </w:t>
      </w:r>
      <w:proofErr w:type="spellStart"/>
      <w:r w:rsidRPr="0084393A">
        <w:rPr>
          <w:rFonts w:ascii="Century Gothic" w:hAnsi="Century Gothic"/>
          <w:sz w:val="18"/>
          <w:szCs w:val="18"/>
        </w:rPr>
        <w:t>organised</w:t>
      </w:r>
      <w:proofErr w:type="spellEnd"/>
      <w:r w:rsidRPr="0084393A">
        <w:rPr>
          <w:rFonts w:ascii="Century Gothic" w:hAnsi="Century Gothic"/>
          <w:sz w:val="18"/>
          <w:szCs w:val="18"/>
        </w:rPr>
        <w:t xml:space="preserve"> as follows: Section 2 describes the data and model specifications; Section 3 presents the empirical results; Section 4 discusses the comparative findings; and Section 5 concludes.</w:t>
      </w:r>
    </w:p>
    <w:p w14:paraId="121F3A98" w14:textId="77777777" w:rsidR="00AD70D0" w:rsidRPr="00E00D7C" w:rsidRDefault="00AD70D0" w:rsidP="006E2E32">
      <w:pPr>
        <w:pStyle w:val="TAMainText"/>
        <w:spacing w:line="240" w:lineRule="auto"/>
        <w:ind w:firstLine="0"/>
        <w:rPr>
          <w:rFonts w:ascii="Century Gothic" w:hAnsi="Century Gothic"/>
          <w:b/>
          <w:color w:val="943634"/>
          <w:sz w:val="22"/>
          <w:szCs w:val="22"/>
        </w:rPr>
      </w:pPr>
    </w:p>
    <w:p w14:paraId="53178979" w14:textId="77777777" w:rsidR="000158B4" w:rsidRPr="00E00D7C" w:rsidRDefault="00615225" w:rsidP="006E2E32">
      <w:pPr>
        <w:pStyle w:val="TAMainText"/>
        <w:spacing w:line="240" w:lineRule="auto"/>
        <w:ind w:firstLine="0"/>
        <w:rPr>
          <w:rFonts w:ascii="Century Gothic" w:hAnsi="Century Gothic"/>
          <w:b/>
          <w:color w:val="943634"/>
          <w:sz w:val="22"/>
          <w:szCs w:val="22"/>
        </w:rPr>
      </w:pPr>
      <w:r w:rsidRPr="00E00D7C">
        <w:rPr>
          <w:rFonts w:ascii="Century Gothic" w:hAnsi="Century Gothic"/>
          <w:b/>
          <w:color w:val="943634"/>
          <w:sz w:val="22"/>
          <w:szCs w:val="22"/>
        </w:rPr>
        <w:t>2.0 METHODOLOGY</w:t>
      </w:r>
    </w:p>
    <w:p w14:paraId="4901BFE6" w14:textId="77777777" w:rsidR="004E2D67" w:rsidRDefault="004E2D67" w:rsidP="006E2E32">
      <w:pPr>
        <w:pStyle w:val="TAMainText"/>
        <w:spacing w:line="240" w:lineRule="auto"/>
        <w:ind w:firstLine="0"/>
        <w:rPr>
          <w:rFonts w:ascii="Century Gothic" w:hAnsi="Century Gothic"/>
        </w:rPr>
      </w:pPr>
    </w:p>
    <w:p w14:paraId="4DEB29D3" w14:textId="133DEAD3" w:rsidR="00E00D7C" w:rsidRDefault="00F10C36" w:rsidP="00F3357C">
      <w:pPr>
        <w:pStyle w:val="NormalWeb"/>
        <w:spacing w:before="0" w:beforeAutospacing="0" w:after="0" w:afterAutospacing="0"/>
        <w:jc w:val="both"/>
        <w:rPr>
          <w:rFonts w:ascii="Century Gothic" w:hAnsi="Century Gothic"/>
          <w:color w:val="000000"/>
          <w:sz w:val="18"/>
          <w:szCs w:val="18"/>
        </w:rPr>
      </w:pPr>
      <w:r w:rsidRPr="00F10C36">
        <w:rPr>
          <w:rFonts w:ascii="Century Gothic" w:hAnsi="Century Gothic"/>
          <w:color w:val="000000"/>
          <w:sz w:val="18"/>
          <w:szCs w:val="18"/>
        </w:rPr>
        <w:t xml:space="preserve">This study uses secondary time-series data on the stock price of PT Vale Indonesia </w:t>
      </w:r>
      <w:proofErr w:type="spellStart"/>
      <w:r w:rsidRPr="00F10C36">
        <w:rPr>
          <w:rFonts w:ascii="Century Gothic" w:hAnsi="Century Gothic"/>
          <w:color w:val="000000"/>
          <w:sz w:val="18"/>
          <w:szCs w:val="18"/>
        </w:rPr>
        <w:t>Tbk</w:t>
      </w:r>
      <w:proofErr w:type="spellEnd"/>
      <w:r w:rsidRPr="00F10C36">
        <w:rPr>
          <w:rFonts w:ascii="Century Gothic" w:hAnsi="Century Gothic"/>
          <w:color w:val="000000"/>
          <w:sz w:val="18"/>
          <w:szCs w:val="18"/>
        </w:rPr>
        <w:t xml:space="preserve"> (INCO), listed on the Indonesian stock market obtained from Investing (www.investing.com), covering the period from July 2, 2025 to February 4, 2026</w:t>
      </w:r>
      <w:r w:rsidR="00DD0E7C">
        <w:rPr>
          <w:rFonts w:ascii="Century Gothic" w:hAnsi="Century Gothic"/>
          <w:color w:val="000000"/>
          <w:sz w:val="18"/>
          <w:szCs w:val="18"/>
        </w:rPr>
        <w:t xml:space="preserve"> </w:t>
      </w:r>
      <w:r w:rsidRPr="00F10C36">
        <w:rPr>
          <w:rFonts w:ascii="Century Gothic" w:hAnsi="Century Gothic"/>
          <w:color w:val="000000"/>
          <w:sz w:val="18"/>
          <w:szCs w:val="18"/>
        </w:rPr>
        <w:t xml:space="preserve"> based on daily observations</w:t>
      </w:r>
      <w:r w:rsidR="001F75DD">
        <w:rPr>
          <w:rFonts w:ascii="Century Gothic" w:hAnsi="Century Gothic"/>
          <w:color w:val="000000"/>
          <w:sz w:val="18"/>
          <w:szCs w:val="18"/>
        </w:rPr>
        <w:t xml:space="preserve"> </w:t>
      </w:r>
      <w:r w:rsidR="001F75DD">
        <w:rPr>
          <w:rFonts w:ascii="Century Gothic" w:hAnsi="Century Gothic"/>
          <w:color w:val="000000"/>
          <w:sz w:val="18"/>
          <w:szCs w:val="18"/>
        </w:rPr>
        <w:fldChar w:fldCharType="begin" w:fldLock="1"/>
      </w:r>
      <w:r w:rsidR="001F75DD">
        <w:rPr>
          <w:rFonts w:ascii="Century Gothic" w:hAnsi="Century Gothic"/>
          <w:color w:val="000000"/>
          <w:sz w:val="18"/>
          <w:szCs w:val="18"/>
        </w:rPr>
        <w:instrText>ADDIN CSL_CITATION {"citationItems":[{"id":"ITEM-1","itemData":{"author":[{"dropping-particle":"","family":"Investing.com","given":"","non-dropping-particle":"","parse-names":false,"suffix":""}],"id":"ITEM-1","issued":{"date-parts":[["2026"]]},"title":"Vale Indonesia Tbk (INCO) stock historical data.","type":"webpage"},"uris":["http://www.mendeley.com/documents/?uuid=a942b494-9fb4-4fb0-9c20-373b1257d0ef"]}],"mendeley":{"formattedCitation":"[22]","plainTextFormattedCitation":"[22]","previouslyFormattedCitation":"[22]"},"properties":{"noteIndex":0},"schema":"https://github.com/citation-style-language/schema/raw/master/csl-citation.json"}</w:instrText>
      </w:r>
      <w:r w:rsidR="001F75DD">
        <w:rPr>
          <w:rFonts w:ascii="Century Gothic" w:hAnsi="Century Gothic"/>
          <w:color w:val="000000"/>
          <w:sz w:val="18"/>
          <w:szCs w:val="18"/>
        </w:rPr>
        <w:fldChar w:fldCharType="separate"/>
      </w:r>
      <w:r w:rsidR="001F75DD" w:rsidRPr="001F75DD">
        <w:rPr>
          <w:rFonts w:ascii="Century Gothic" w:hAnsi="Century Gothic"/>
          <w:noProof/>
          <w:color w:val="000000"/>
          <w:sz w:val="18"/>
          <w:szCs w:val="18"/>
        </w:rPr>
        <w:t>[22]</w:t>
      </w:r>
      <w:r w:rsidR="001F75DD">
        <w:rPr>
          <w:rFonts w:ascii="Century Gothic" w:hAnsi="Century Gothic"/>
          <w:color w:val="000000"/>
          <w:sz w:val="18"/>
          <w:szCs w:val="18"/>
        </w:rPr>
        <w:fldChar w:fldCharType="end"/>
      </w:r>
      <w:r w:rsidRPr="00F10C36">
        <w:rPr>
          <w:rFonts w:ascii="Century Gothic" w:hAnsi="Century Gothic"/>
          <w:color w:val="000000"/>
          <w:sz w:val="18"/>
          <w:szCs w:val="18"/>
        </w:rPr>
        <w:t>. Furthermore, a univariate time series model and a time series model incorporating an exogenous variable (x = policy intervention) were used to model INCO’s stock price, with specific consideration given to Indonesia’s nickel export restrictions on December 19, 2025 as the intervention point. The policy-induced decline in supply, coupled with relatively stable demand, is expected to result in a significant increase in nickel stock prices.</w:t>
      </w:r>
    </w:p>
    <w:p w14:paraId="7791EA56" w14:textId="77777777" w:rsidR="00E00D7C" w:rsidRDefault="00E00D7C" w:rsidP="006E2E32">
      <w:pPr>
        <w:pStyle w:val="NormalWeb"/>
        <w:spacing w:before="0" w:beforeAutospacing="0" w:after="0" w:afterAutospacing="0"/>
        <w:ind w:firstLine="284"/>
        <w:jc w:val="both"/>
        <w:rPr>
          <w:rFonts w:ascii="Century Gothic" w:hAnsi="Century Gothic"/>
          <w:color w:val="000000"/>
          <w:sz w:val="18"/>
          <w:szCs w:val="18"/>
        </w:rPr>
      </w:pPr>
    </w:p>
    <w:p w14:paraId="7C3F5B85" w14:textId="77777777" w:rsidR="00E00D7C" w:rsidRDefault="00E00D7C" w:rsidP="006E2E32">
      <w:pPr>
        <w:pStyle w:val="NormalWeb"/>
        <w:spacing w:before="0" w:beforeAutospacing="0" w:after="0" w:afterAutospacing="0"/>
        <w:ind w:firstLine="284"/>
        <w:jc w:val="both"/>
        <w:rPr>
          <w:rFonts w:ascii="Century Gothic" w:hAnsi="Century Gothic"/>
          <w:color w:val="000000"/>
          <w:sz w:val="18"/>
          <w:szCs w:val="18"/>
        </w:rPr>
      </w:pPr>
    </w:p>
    <w:p w14:paraId="4B5302D8" w14:textId="77777777" w:rsidR="00CB758B" w:rsidRPr="0037679B" w:rsidRDefault="00CB758B" w:rsidP="006E2E32">
      <w:pPr>
        <w:pStyle w:val="NormalWeb"/>
        <w:spacing w:before="0" w:beforeAutospacing="0" w:after="0" w:afterAutospacing="0"/>
        <w:ind w:firstLine="284"/>
        <w:jc w:val="both"/>
        <w:rPr>
          <w:rFonts w:ascii="Century Gothic" w:hAnsi="Century Gothic"/>
          <w:color w:val="000000"/>
          <w:sz w:val="18"/>
          <w:szCs w:val="18"/>
        </w:rPr>
      </w:pPr>
    </w:p>
    <w:p w14:paraId="72659D26" w14:textId="77777777" w:rsidR="006D2D71" w:rsidRDefault="006D2D71" w:rsidP="006E2E32">
      <w:pPr>
        <w:outlineLvl w:val="0"/>
        <w:rPr>
          <w:rFonts w:ascii="Century Gothic" w:hAnsi="Century Gothic"/>
          <w:b/>
          <w:bCs/>
          <w:color w:val="943634"/>
          <w:kern w:val="36"/>
          <w:sz w:val="18"/>
          <w:szCs w:val="18"/>
        </w:rPr>
      </w:pPr>
      <w:r w:rsidRPr="00E00D7C">
        <w:rPr>
          <w:rFonts w:ascii="Century Gothic" w:hAnsi="Century Gothic"/>
          <w:b/>
          <w:bCs/>
          <w:color w:val="943634"/>
          <w:kern w:val="36"/>
          <w:sz w:val="18"/>
          <w:szCs w:val="18"/>
        </w:rPr>
        <w:t xml:space="preserve">2.2 ARIMA Step Function Intervention Model </w:t>
      </w:r>
    </w:p>
    <w:p w14:paraId="798F30C8" w14:textId="77777777" w:rsidR="00E00D7C" w:rsidRPr="00E00D7C" w:rsidRDefault="00E00D7C" w:rsidP="006E2E32">
      <w:pPr>
        <w:outlineLvl w:val="0"/>
        <w:rPr>
          <w:rFonts w:ascii="Century Gothic" w:hAnsi="Century Gothic"/>
          <w:b/>
          <w:bCs/>
          <w:color w:val="AC0403"/>
          <w:kern w:val="36"/>
          <w:sz w:val="18"/>
          <w:szCs w:val="18"/>
        </w:rPr>
      </w:pPr>
    </w:p>
    <w:p w14:paraId="3F4AB0D1" w14:textId="5574F41D" w:rsidR="006D2D71" w:rsidRPr="00B74AE3" w:rsidRDefault="006D2D71" w:rsidP="00F3357C">
      <w:pPr>
        <w:rPr>
          <w:rFonts w:ascii="Century Gothic" w:hAnsi="Century Gothic"/>
          <w:color w:val="000000"/>
          <w:sz w:val="18"/>
          <w:szCs w:val="18"/>
        </w:rPr>
      </w:pPr>
      <w:r w:rsidRPr="00B74AE3">
        <w:rPr>
          <w:rFonts w:ascii="Century Gothic" w:hAnsi="Century Gothic"/>
          <w:color w:val="000000"/>
          <w:sz w:val="18"/>
          <w:szCs w:val="18"/>
        </w:rPr>
        <w:t>The model used in this study is the Autoregressive Integrated Moving Average (ARIMA). ARIMA is widely applied in time series analysis due to its ability to capture temporal dependence through autoregressive, differencing, and moving average components</w:t>
      </w:r>
      <w:r w:rsidR="001F75DD">
        <w:rPr>
          <w:rFonts w:ascii="Century Gothic" w:hAnsi="Century Gothic"/>
          <w:color w:val="000000"/>
          <w:sz w:val="18"/>
          <w:szCs w:val="18"/>
        </w:rPr>
        <w:t xml:space="preserve"> </w:t>
      </w:r>
      <w:r w:rsidR="001F75DD">
        <w:rPr>
          <w:rFonts w:ascii="Century Gothic" w:hAnsi="Century Gothic"/>
          <w:color w:val="000000"/>
          <w:sz w:val="18"/>
          <w:szCs w:val="18"/>
        </w:rPr>
        <w:fldChar w:fldCharType="begin" w:fldLock="1"/>
      </w:r>
      <w:r w:rsidR="001F75DD">
        <w:rPr>
          <w:rFonts w:ascii="Century Gothic" w:hAnsi="Century Gothic"/>
          <w:color w:val="000000"/>
          <w:sz w:val="18"/>
          <w:szCs w:val="18"/>
        </w:rPr>
        <w:instrText>ADDIN CSL_CITATION {"citationItems":[{"id":"ITEM-1","itemData":{"DOI":"10.1111/jtsa.12194","ISBN":"9781118675021","ISSN":"0143-9782","abstract":"No abstract is available for this item.","author":[{"dropping-particle":"","family":"Wilson","given":"Granville Tunnicliffe","non-dropping-particle":"","parse-names":false,"suffix":""}],"container-title":"Journal of Time Series Analysis","id":"ITEM-1","issue":"5","issued":{"date-parts":[["2016"]]},"page":"709-711","title":"Time Series Analysis: Forecasting and Control, 5th Edition, by George E. P. Box, Gwilym M. Jenkins, Gregory C. Reinsel and Greta M. Ljung, 2015. Published by John Wiley and Sons Inc., Hoboken, New Jersey, pp. 712. ISBN: 978</w:instrText>
      </w:r>
      <w:r w:rsidR="001F75DD">
        <w:rPr>
          <w:rFonts w:ascii="Cambria Math" w:hAnsi="Cambria Math" w:cs="Cambria Math"/>
          <w:color w:val="000000"/>
          <w:sz w:val="18"/>
          <w:szCs w:val="18"/>
        </w:rPr>
        <w:instrText>‐</w:instrText>
      </w:r>
      <w:r w:rsidR="001F75DD">
        <w:rPr>
          <w:rFonts w:ascii="Century Gothic" w:hAnsi="Century Gothic"/>
          <w:color w:val="000000"/>
          <w:sz w:val="18"/>
          <w:szCs w:val="18"/>
        </w:rPr>
        <w:instrText>1</w:instrText>
      </w:r>
      <w:r w:rsidR="001F75DD">
        <w:rPr>
          <w:rFonts w:ascii="Cambria Math" w:hAnsi="Cambria Math" w:cs="Cambria Math"/>
          <w:color w:val="000000"/>
          <w:sz w:val="18"/>
          <w:szCs w:val="18"/>
        </w:rPr>
        <w:instrText>‐</w:instrText>
      </w:r>
      <w:r w:rsidR="001F75DD">
        <w:rPr>
          <w:rFonts w:ascii="Century Gothic" w:hAnsi="Century Gothic"/>
          <w:color w:val="000000"/>
          <w:sz w:val="18"/>
          <w:szCs w:val="18"/>
        </w:rPr>
        <w:instrText>118</w:instrText>
      </w:r>
      <w:r w:rsidR="001F75DD">
        <w:rPr>
          <w:rFonts w:ascii="Cambria Math" w:hAnsi="Cambria Math" w:cs="Cambria Math"/>
          <w:color w:val="000000"/>
          <w:sz w:val="18"/>
          <w:szCs w:val="18"/>
        </w:rPr>
        <w:instrText>‐</w:instrText>
      </w:r>
      <w:r w:rsidR="001F75DD">
        <w:rPr>
          <w:rFonts w:ascii="Century Gothic" w:hAnsi="Century Gothic"/>
          <w:color w:val="000000"/>
          <w:sz w:val="18"/>
          <w:szCs w:val="18"/>
        </w:rPr>
        <w:instrText>67502</w:instrText>
      </w:r>
      <w:r w:rsidR="001F75DD">
        <w:rPr>
          <w:rFonts w:ascii="Cambria Math" w:hAnsi="Cambria Math" w:cs="Cambria Math"/>
          <w:color w:val="000000"/>
          <w:sz w:val="18"/>
          <w:szCs w:val="18"/>
        </w:rPr>
        <w:instrText>‐</w:instrText>
      </w:r>
      <w:r w:rsidR="001F75DD">
        <w:rPr>
          <w:rFonts w:ascii="Century Gothic" w:hAnsi="Century Gothic"/>
          <w:color w:val="000000"/>
          <w:sz w:val="18"/>
          <w:szCs w:val="18"/>
        </w:rPr>
        <w:instrText>1","type":"article-journal","volume":"37"},"uris":["http://www.mendeley.com/documents/?uuid=26bd4b05-9105-4dc7-8a15-9db130bf515d"]}],"mendeley":{"formattedCitation":"[23]","plainTextFormattedCitation":"[23]","previouslyFormattedCitation":"[23]"},"properties":{"noteIndex":0},"schema":"https://github.com/citation-style-language/schema/raw/master/csl-citation.json"}</w:instrText>
      </w:r>
      <w:r w:rsidR="001F75DD">
        <w:rPr>
          <w:rFonts w:ascii="Century Gothic" w:hAnsi="Century Gothic"/>
          <w:color w:val="000000"/>
          <w:sz w:val="18"/>
          <w:szCs w:val="18"/>
        </w:rPr>
        <w:fldChar w:fldCharType="separate"/>
      </w:r>
      <w:r w:rsidR="001F75DD" w:rsidRPr="001F75DD">
        <w:rPr>
          <w:rFonts w:ascii="Century Gothic" w:hAnsi="Century Gothic"/>
          <w:noProof/>
          <w:color w:val="000000"/>
          <w:sz w:val="18"/>
          <w:szCs w:val="18"/>
        </w:rPr>
        <w:t>[23]</w:t>
      </w:r>
      <w:r w:rsidR="001F75DD">
        <w:rPr>
          <w:rFonts w:ascii="Century Gothic" w:hAnsi="Century Gothic"/>
          <w:color w:val="000000"/>
          <w:sz w:val="18"/>
          <w:szCs w:val="18"/>
        </w:rPr>
        <w:fldChar w:fldCharType="end"/>
      </w:r>
      <w:r w:rsidR="001417C9">
        <w:rPr>
          <w:rFonts w:ascii="Century Gothic" w:hAnsi="Century Gothic"/>
          <w:color w:val="000000"/>
          <w:sz w:val="18"/>
          <w:szCs w:val="18"/>
        </w:rPr>
        <w:t>.</w:t>
      </w:r>
    </w:p>
    <w:p w14:paraId="2EAA7A30" w14:textId="14299C22" w:rsidR="006D2D71" w:rsidRPr="0037679B" w:rsidRDefault="006D2D71" w:rsidP="006E2E32">
      <w:pPr>
        <w:rPr>
          <w:rFonts w:ascii="Century Gothic" w:hAnsi="Century Gothic"/>
          <w:color w:val="000000"/>
          <w:sz w:val="18"/>
          <w:szCs w:val="18"/>
        </w:rPr>
      </w:pPr>
      <w:r w:rsidRPr="00B74AE3">
        <w:rPr>
          <w:rFonts w:ascii="Century Gothic" w:hAnsi="Century Gothic"/>
          <w:color w:val="000000"/>
          <w:sz w:val="18"/>
          <w:szCs w:val="18"/>
        </w:rPr>
        <w:t>In general form, the ARIMA model can be written as:</w:t>
      </w:r>
    </w:p>
    <w:tbl>
      <w:tblPr>
        <w:tblW w:w="0" w:type="auto"/>
        <w:tblLook w:val="04A0" w:firstRow="1" w:lastRow="0" w:firstColumn="1" w:lastColumn="0" w:noHBand="0" w:noVBand="1"/>
      </w:tblPr>
      <w:tblGrid>
        <w:gridCol w:w="4222"/>
        <w:gridCol w:w="449"/>
      </w:tblGrid>
      <w:tr w:rsidR="006D2D71" w:rsidRPr="0037679B" w14:paraId="377B196B" w14:textId="77777777">
        <w:tc>
          <w:tcPr>
            <w:tcW w:w="8926" w:type="dxa"/>
          </w:tcPr>
          <w:p w14:paraId="6CAEAF59" w14:textId="29358C00" w:rsidR="006D2D71" w:rsidRPr="006D2D71" w:rsidRDefault="0087023A" w:rsidP="006E2E32">
            <m:oMathPara>
              <m:oMath>
                <m:r>
                  <w:rPr>
                    <w:rFonts w:ascii="Cambria Math" w:hAnsi="Cambria Math"/>
                    <w:sz w:val="18"/>
                    <w:szCs w:val="18"/>
                  </w:rPr>
                  <m:t>ϕ</m:t>
                </m:r>
                <m:d>
                  <m:dPr>
                    <m:ctrlPr>
                      <w:rPr>
                        <w:rFonts w:ascii="Cambria Math" w:hAnsi="Cambria Math"/>
                        <w:i/>
                        <w:sz w:val="18"/>
                        <w:szCs w:val="18"/>
                      </w:rPr>
                    </m:ctrlPr>
                  </m:dPr>
                  <m:e>
                    <m:r>
                      <w:rPr>
                        <w:rFonts w:ascii="Cambria Math" w:hAnsi="Cambria Math"/>
                        <w:sz w:val="18"/>
                        <w:szCs w:val="18"/>
                      </w:rPr>
                      <m:t>B</m:t>
                    </m:r>
                  </m:e>
                </m:d>
                <m:sSup>
                  <m:sSupPr>
                    <m:ctrlPr>
                      <w:rPr>
                        <w:rFonts w:ascii="Cambria Math" w:hAnsi="Cambria Math"/>
                        <w:i/>
                        <w:color w:val="000000"/>
                        <w:sz w:val="18"/>
                        <w:szCs w:val="18"/>
                      </w:rPr>
                    </m:ctrlPr>
                  </m:sSupPr>
                  <m:e>
                    <m:d>
                      <m:dPr>
                        <m:ctrlPr>
                          <w:rPr>
                            <w:rFonts w:ascii="Cambria Math" w:hAnsi="Cambria Math"/>
                            <w:i/>
                            <w:sz w:val="18"/>
                            <w:szCs w:val="18"/>
                          </w:rPr>
                        </m:ctrlPr>
                      </m:dPr>
                      <m:e>
                        <m:r>
                          <w:rPr>
                            <w:rFonts w:ascii="Cambria Math" w:hAnsi="Cambria Math"/>
                            <w:sz w:val="18"/>
                            <w:szCs w:val="18"/>
                          </w:rPr>
                          <m:t>1-β</m:t>
                        </m:r>
                      </m:e>
                    </m:d>
                  </m:e>
                  <m:sup>
                    <m:r>
                      <w:rPr>
                        <w:rFonts w:ascii="Cambria Math" w:hAnsi="Cambria Math"/>
                        <w:sz w:val="18"/>
                        <w:szCs w:val="18"/>
                      </w:rPr>
                      <m:t>d</m:t>
                    </m:r>
                  </m:sup>
                </m:sSup>
                <m:sSub>
                  <m:sSubPr>
                    <m:ctrlPr>
                      <w:rPr>
                        <w:rFonts w:ascii="Cambria Math" w:hAnsi="Cambria Math"/>
                        <w:i/>
                        <w:color w:val="000000"/>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sz w:val="18"/>
                    <w:szCs w:val="18"/>
                  </w:rPr>
                  <m:t>=θ</m:t>
                </m:r>
                <m:d>
                  <m:dPr>
                    <m:ctrlPr>
                      <w:rPr>
                        <w:rFonts w:ascii="Cambria Math" w:hAnsi="Cambria Math"/>
                        <w:i/>
                        <w:sz w:val="18"/>
                        <w:szCs w:val="18"/>
                      </w:rPr>
                    </m:ctrlPr>
                  </m:dPr>
                  <m:e>
                    <m:r>
                      <w:rPr>
                        <w:rFonts w:ascii="Cambria Math" w:hAnsi="Cambria Math"/>
                        <w:sz w:val="18"/>
                        <w:szCs w:val="18"/>
                      </w:rPr>
                      <m:t>B</m:t>
                    </m:r>
                  </m:e>
                </m:d>
                <m:sSub>
                  <m:sSubPr>
                    <m:ctrlPr>
                      <w:rPr>
                        <w:rFonts w:ascii="Cambria Math" w:hAnsi="Cambria Math"/>
                        <w:i/>
                        <w:color w:val="000000"/>
                        <w:sz w:val="18"/>
                        <w:szCs w:val="18"/>
                      </w:rPr>
                    </m:ctrlPr>
                  </m:sSubPr>
                  <m:e>
                    <m:r>
                      <w:rPr>
                        <w:rFonts w:ascii="Cambria Math" w:hAnsi="Cambria Math"/>
                        <w:sz w:val="18"/>
                        <w:szCs w:val="18"/>
                      </w:rPr>
                      <m:t>ε</m:t>
                    </m:r>
                  </m:e>
                  <m:sub>
                    <m:r>
                      <w:rPr>
                        <w:rFonts w:ascii="Cambria Math" w:hAnsi="Cambria Math"/>
                        <w:sz w:val="18"/>
                        <w:szCs w:val="18"/>
                      </w:rPr>
                      <m:t>t</m:t>
                    </m:r>
                  </m:sub>
                </m:sSub>
              </m:oMath>
            </m:oMathPara>
          </w:p>
        </w:tc>
        <w:tc>
          <w:tcPr>
            <w:tcW w:w="424" w:type="dxa"/>
          </w:tcPr>
          <w:p w14:paraId="0489D9F4" w14:textId="77777777" w:rsidR="006D2D71" w:rsidRDefault="006D2D71" w:rsidP="006E2E32">
            <w:pPr>
              <w:rPr>
                <w:rFonts w:ascii="Century Gothic" w:hAnsi="Century Gothic"/>
                <w:color w:val="000000"/>
                <w:sz w:val="18"/>
                <w:szCs w:val="18"/>
              </w:rPr>
            </w:pPr>
            <w:r>
              <w:rPr>
                <w:rFonts w:ascii="Century Gothic" w:hAnsi="Century Gothic"/>
                <w:color w:val="000000"/>
                <w:sz w:val="18"/>
                <w:szCs w:val="18"/>
              </w:rPr>
              <w:t>(1)</w:t>
            </w:r>
          </w:p>
        </w:tc>
      </w:tr>
    </w:tbl>
    <w:p w14:paraId="17D522CD" w14:textId="4EEC46E9" w:rsidR="00256796" w:rsidRPr="006947B2" w:rsidRDefault="00965BB1" w:rsidP="00965BB1">
      <w:pPr>
        <w:rPr>
          <w:rFonts w:ascii="Century Gothic" w:hAnsi="Century Gothic"/>
          <w:sz w:val="18"/>
          <w:szCs w:val="18"/>
        </w:rPr>
      </w:pPr>
      <w:r>
        <w:rPr>
          <w:rFonts w:ascii="Century Gothic" w:hAnsi="Century Gothic"/>
          <w:sz w:val="18"/>
          <w:szCs w:val="18"/>
        </w:rPr>
        <w:t>w</w:t>
      </w:r>
      <w:r w:rsidR="00224E57">
        <w:rPr>
          <w:rFonts w:ascii="Century Gothic" w:hAnsi="Century Gothic"/>
          <w:sz w:val="18"/>
          <w:szCs w:val="18"/>
        </w:rPr>
        <w:t xml:space="preserve">here </w:t>
      </w:r>
      <m:oMath>
        <m:sSub>
          <m:sSubPr>
            <m:ctrlPr>
              <w:rPr>
                <w:rFonts w:ascii="Cambria Math" w:hAnsi="Cambria Math"/>
                <w:i/>
                <w:color w:val="000000"/>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color w:val="000000"/>
            <w:sz w:val="18"/>
            <w:szCs w:val="18"/>
          </w:rPr>
          <m:t xml:space="preserve"> </m:t>
        </m:r>
      </m:oMath>
      <w:r w:rsidR="002139CA">
        <w:rPr>
          <w:rFonts w:ascii="Century Gothic" w:hAnsi="Century Gothic"/>
          <w:color w:val="000000"/>
          <w:sz w:val="18"/>
          <w:szCs w:val="18"/>
        </w:rPr>
        <w:t xml:space="preserve"> </w:t>
      </w:r>
      <w:r w:rsidR="00224E57">
        <w:rPr>
          <w:rFonts w:ascii="Century Gothic" w:hAnsi="Century Gothic"/>
          <w:sz w:val="18"/>
          <w:szCs w:val="18"/>
        </w:rPr>
        <w:t xml:space="preserve">time series value at time </w:t>
      </w:r>
      <w:r w:rsidR="002139CA">
        <w:rPr>
          <w:rFonts w:ascii="Century Gothic" w:hAnsi="Century Gothic"/>
          <w:sz w:val="18"/>
          <w:szCs w:val="18"/>
        </w:rPr>
        <w:t>t</w:t>
      </w:r>
      <w:r w:rsidR="00224E57">
        <w:rPr>
          <w:rFonts w:ascii="Century Gothic" w:hAnsi="Century Gothic"/>
          <w:sz w:val="18"/>
          <w:szCs w:val="18"/>
        </w:rPr>
        <w:t xml:space="preserve">; </w:t>
      </w:r>
      <m:oMath>
        <m:sSub>
          <m:sSubPr>
            <m:ctrlPr>
              <w:rPr>
                <w:rFonts w:ascii="Cambria Math" w:hAnsi="Cambria Math"/>
                <w:i/>
                <w:sz w:val="18"/>
                <w:szCs w:val="18"/>
              </w:rPr>
            </m:ctrlPr>
          </m:sSubPr>
          <m:e>
            <m:r>
              <w:rPr>
                <w:rFonts w:ascii="Cambria Math" w:hAnsi="Cambria Math"/>
                <w:sz w:val="18"/>
                <w:szCs w:val="18"/>
              </w:rPr>
              <m:t>ϕ</m:t>
            </m:r>
          </m:e>
          <m:sub>
            <m:r>
              <w:rPr>
                <w:rFonts w:ascii="Cambria Math" w:hAnsi="Cambria Math"/>
                <w:sz w:val="18"/>
                <w:szCs w:val="18"/>
              </w:rPr>
              <m:t>p</m:t>
            </m:r>
          </m:sub>
        </m:sSub>
      </m:oMath>
      <w:r w:rsidR="00224E57">
        <w:rPr>
          <w:rFonts w:ascii="Century Gothic" w:hAnsi="Century Gothic"/>
          <w:sz w:val="18"/>
          <w:szCs w:val="18"/>
        </w:rPr>
        <w:t xml:space="preserve"> is Autoregressive Parameter, </w:t>
      </w:r>
      <m:oMath>
        <m:r>
          <w:rPr>
            <w:rFonts w:ascii="Cambria Math" w:hAnsi="Cambria Math"/>
            <w:sz w:val="18"/>
            <w:szCs w:val="18"/>
          </w:rPr>
          <m:t>d</m:t>
        </m:r>
      </m:oMath>
      <w:r w:rsidR="00224E57">
        <w:rPr>
          <w:rFonts w:ascii="Century Gothic" w:hAnsi="Century Gothic"/>
          <w:sz w:val="18"/>
          <w:szCs w:val="18"/>
        </w:rPr>
        <w:t xml:space="preserve"> is </w:t>
      </w:r>
      <w:r w:rsidR="00D603C3">
        <w:rPr>
          <w:rFonts w:ascii="Century Gothic" w:hAnsi="Century Gothic"/>
          <w:sz w:val="18"/>
          <w:szCs w:val="18"/>
        </w:rPr>
        <w:t>differencing order</w:t>
      </w:r>
      <w:r w:rsidR="002139CA">
        <w:rPr>
          <w:rFonts w:ascii="Century Gothic" w:hAnsi="Century Gothic"/>
          <w:sz w:val="18"/>
          <w:szCs w:val="18"/>
        </w:rPr>
        <w:t>;</w:t>
      </w:r>
      <w:r w:rsidR="00D603C3">
        <w:rPr>
          <w:rFonts w:ascii="Century Gothic" w:hAnsi="Century Gothic"/>
          <w:sz w:val="18"/>
          <w:szCs w:val="18"/>
        </w:rPr>
        <w:t xml:space="preserve">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p</m:t>
            </m:r>
          </m:sub>
        </m:sSub>
      </m:oMath>
      <w:r w:rsidR="00D603C3">
        <w:rPr>
          <w:rFonts w:ascii="Century Gothic" w:hAnsi="Century Gothic"/>
          <w:sz w:val="18"/>
          <w:szCs w:val="18"/>
        </w:rPr>
        <w:t xml:space="preserve"> is Moving Average parameter; and </w:t>
      </w:r>
      <m:oMath>
        <m:sSub>
          <m:sSubPr>
            <m:ctrlPr>
              <w:rPr>
                <w:rFonts w:ascii="Cambria Math" w:hAnsi="Cambria Math"/>
                <w:i/>
                <w:color w:val="000000"/>
                <w:sz w:val="18"/>
                <w:szCs w:val="18"/>
              </w:rPr>
            </m:ctrlPr>
          </m:sSubPr>
          <m:e>
            <m:r>
              <w:rPr>
                <w:rFonts w:ascii="Cambria Math" w:hAnsi="Cambria Math"/>
                <w:sz w:val="18"/>
                <w:szCs w:val="18"/>
              </w:rPr>
              <m:t>ε</m:t>
            </m:r>
          </m:e>
          <m:sub>
            <m:r>
              <w:rPr>
                <w:rFonts w:ascii="Cambria Math" w:hAnsi="Cambria Math"/>
                <w:sz w:val="18"/>
                <w:szCs w:val="18"/>
              </w:rPr>
              <m:t>t</m:t>
            </m:r>
          </m:sub>
        </m:sSub>
      </m:oMath>
      <w:r w:rsidR="00D603C3">
        <w:rPr>
          <w:rFonts w:ascii="Century Gothic" w:hAnsi="Century Gothic"/>
          <w:sz w:val="18"/>
          <w:szCs w:val="18"/>
        </w:rPr>
        <w:t xml:space="preserve"> error at time t.</w:t>
      </w:r>
    </w:p>
    <w:p w14:paraId="401F69FF" w14:textId="6D24326C" w:rsidR="006D2D71" w:rsidRPr="00B74AE3" w:rsidRDefault="002F48CA" w:rsidP="006E2E32">
      <w:pPr>
        <w:pStyle w:val="NormalWeb"/>
        <w:spacing w:before="0" w:beforeAutospacing="0" w:after="0" w:afterAutospacing="0"/>
        <w:ind w:firstLine="284"/>
        <w:jc w:val="both"/>
        <w:rPr>
          <w:rFonts w:ascii="Century Gothic" w:hAnsi="Century Gothic"/>
          <w:color w:val="000000"/>
          <w:sz w:val="18"/>
          <w:szCs w:val="18"/>
        </w:rPr>
      </w:pPr>
      <w:r w:rsidRPr="002F48CA">
        <w:rPr>
          <w:rFonts w:ascii="Century Gothic" w:hAnsi="Century Gothic"/>
          <w:color w:val="000000"/>
          <w:sz w:val="18"/>
          <w:szCs w:val="18"/>
        </w:rPr>
        <w:t>To account for the impact of a policy, the classical ARIMA model is extended to include interventions. This approach allows the model to incorporate structural changes caused by specific events, particularly government policies.</w:t>
      </w:r>
    </w:p>
    <w:p w14:paraId="10323FAB" w14:textId="77777777" w:rsidR="006D2D71" w:rsidRPr="0037679B" w:rsidRDefault="006D2D71" w:rsidP="006E2E32">
      <w:pPr>
        <w:ind w:firstLine="284"/>
        <w:rPr>
          <w:rFonts w:ascii="Century Gothic" w:hAnsi="Century Gothic"/>
          <w:color w:val="000000"/>
          <w:sz w:val="18"/>
          <w:szCs w:val="18"/>
        </w:rPr>
      </w:pPr>
      <w:r w:rsidRPr="00B74AE3">
        <w:rPr>
          <w:rFonts w:ascii="Century Gothic" w:hAnsi="Century Gothic"/>
          <w:color w:val="000000"/>
          <w:sz w:val="18"/>
          <w:szCs w:val="18"/>
        </w:rPr>
        <w:t>In this study, a step function is used to represent a permanent change in the level of the series following the intervention. The intervention variable is defined as:</w:t>
      </w:r>
    </w:p>
    <w:tbl>
      <w:tblPr>
        <w:tblW w:w="0" w:type="auto"/>
        <w:tblLook w:val="04A0" w:firstRow="1" w:lastRow="0" w:firstColumn="1" w:lastColumn="0" w:noHBand="0" w:noVBand="1"/>
      </w:tblPr>
      <w:tblGrid>
        <w:gridCol w:w="4222"/>
        <w:gridCol w:w="449"/>
      </w:tblGrid>
      <w:tr w:rsidR="006D2D71" w:rsidRPr="0037679B" w14:paraId="6D0832A2" w14:textId="77777777">
        <w:tc>
          <w:tcPr>
            <w:tcW w:w="8926" w:type="dxa"/>
          </w:tcPr>
          <w:p w14:paraId="72C14967" w14:textId="13492EB4" w:rsidR="006D2D71" w:rsidRPr="00DC6B0A" w:rsidRDefault="00000000" w:rsidP="006E2E32">
            <w:pPr>
              <w:rPr>
                <w:rFonts w:ascii="Century Gothic" w:hAnsi="Century Gothic"/>
                <w:color w:val="000000"/>
                <w:sz w:val="18"/>
                <w:szCs w:val="18"/>
              </w:rPr>
            </w:pPr>
            <m:oMathPara>
              <m:oMath>
                <m:sSub>
                  <m:sSubPr>
                    <m:ctrlPr>
                      <w:rPr>
                        <w:rFonts w:ascii="Cambria Math" w:hAnsi="Cambria Math"/>
                        <w:i/>
                        <w:color w:val="000000"/>
                        <w:sz w:val="18"/>
                        <w:szCs w:val="18"/>
                      </w:rPr>
                    </m:ctrlPr>
                  </m:sSubPr>
                  <m:e>
                    <m:r>
                      <w:rPr>
                        <w:rFonts w:ascii="Cambria Math" w:hAnsi="Cambria Math"/>
                        <w:sz w:val="18"/>
                        <w:szCs w:val="18"/>
                      </w:rPr>
                      <m:t>S</m:t>
                    </m:r>
                  </m:e>
                  <m:sub>
                    <m:r>
                      <w:rPr>
                        <w:rFonts w:ascii="Cambria Math" w:hAnsi="Cambria Math"/>
                        <w:sz w:val="18"/>
                        <w:szCs w:val="18"/>
                      </w:rPr>
                      <m:t>t</m:t>
                    </m:r>
                  </m:sub>
                </m:sSub>
                <m:d>
                  <m:dPr>
                    <m:begChr m:val="{"/>
                    <m:endChr m:val=""/>
                    <m:ctrlPr>
                      <w:rPr>
                        <w:rFonts w:ascii="Cambria Math" w:hAnsi="Cambria Math"/>
                        <w:i/>
                        <w:color w:val="000000"/>
                        <w:sz w:val="18"/>
                        <w:szCs w:val="18"/>
                      </w:rPr>
                    </m:ctrlPr>
                  </m:dPr>
                  <m:e>
                    <m:eqArr>
                      <m:eqArrPr>
                        <m:ctrlPr>
                          <w:rPr>
                            <w:rFonts w:ascii="Cambria Math" w:hAnsi="Cambria Math"/>
                            <w:i/>
                            <w:color w:val="000000"/>
                            <w:sz w:val="18"/>
                            <w:szCs w:val="18"/>
                          </w:rPr>
                        </m:ctrlPr>
                      </m:eqArrPr>
                      <m:e>
                        <m:r>
                          <w:rPr>
                            <w:rFonts w:ascii="Cambria Math" w:hAnsi="Cambria Math"/>
                            <w:sz w:val="18"/>
                            <w:szCs w:val="18"/>
                          </w:rPr>
                          <m:t>0,  t&lt;T</m:t>
                        </m:r>
                      </m:e>
                      <m:e>
                        <m:r>
                          <w:rPr>
                            <w:rFonts w:ascii="Cambria Math" w:hAnsi="Cambria Math"/>
                            <w:sz w:val="18"/>
                            <w:szCs w:val="18"/>
                          </w:rPr>
                          <m:t>1,  t≥T</m:t>
                        </m:r>
                      </m:e>
                    </m:eqArr>
                  </m:e>
                </m:d>
              </m:oMath>
            </m:oMathPara>
          </w:p>
        </w:tc>
        <w:tc>
          <w:tcPr>
            <w:tcW w:w="424" w:type="dxa"/>
          </w:tcPr>
          <w:p w14:paraId="7C29DCCA" w14:textId="77777777" w:rsidR="006D2D71" w:rsidRDefault="006D2D71" w:rsidP="006E2E32">
            <w:pPr>
              <w:rPr>
                <w:rFonts w:ascii="Century Gothic" w:hAnsi="Century Gothic"/>
                <w:color w:val="000000"/>
                <w:sz w:val="18"/>
                <w:szCs w:val="18"/>
              </w:rPr>
            </w:pPr>
            <w:r>
              <w:rPr>
                <w:rFonts w:ascii="Century Gothic" w:hAnsi="Century Gothic"/>
                <w:color w:val="000000"/>
                <w:sz w:val="18"/>
                <w:szCs w:val="18"/>
              </w:rPr>
              <w:t>(2)</w:t>
            </w:r>
          </w:p>
        </w:tc>
      </w:tr>
    </w:tbl>
    <w:p w14:paraId="72A5E40F" w14:textId="4B341D3A" w:rsidR="006D2D71" w:rsidRPr="00B74AE3" w:rsidRDefault="006D2D71" w:rsidP="006E2E32">
      <w:pPr>
        <w:rPr>
          <w:rFonts w:ascii="Century Gothic" w:hAnsi="Century Gothic"/>
          <w:color w:val="000000"/>
          <w:sz w:val="18"/>
          <w:szCs w:val="18"/>
        </w:rPr>
      </w:pPr>
      <w:r w:rsidRPr="00B74AE3">
        <w:rPr>
          <w:rFonts w:ascii="Century Gothic" w:hAnsi="Century Gothic"/>
          <w:color w:val="000000"/>
          <w:sz w:val="18"/>
          <w:szCs w:val="18"/>
        </w:rPr>
        <w:t>where </w:t>
      </w:r>
      <m:oMath>
        <m:r>
          <w:rPr>
            <w:rFonts w:ascii="Cambria Math" w:hAnsi="Cambria Math"/>
            <w:color w:val="000000"/>
            <w:sz w:val="18"/>
            <w:szCs w:val="18"/>
          </w:rPr>
          <m:t>T</m:t>
        </m:r>
      </m:oMath>
      <w:r w:rsidRPr="0037679B">
        <w:rPr>
          <w:rFonts w:ascii="Century Gothic" w:hAnsi="Century Gothic"/>
          <w:color w:val="000000"/>
          <w:sz w:val="18"/>
          <w:szCs w:val="18"/>
        </w:rPr>
        <w:t xml:space="preserve"> </w:t>
      </w:r>
      <w:r w:rsidRPr="00B74AE3">
        <w:rPr>
          <w:rFonts w:ascii="Century Gothic" w:hAnsi="Century Gothic"/>
          <w:color w:val="000000"/>
          <w:sz w:val="18"/>
          <w:szCs w:val="18"/>
        </w:rPr>
        <w:t>denotes the time at which the intervention occurs.</w:t>
      </w:r>
    </w:p>
    <w:p w14:paraId="612B1034" w14:textId="77777777" w:rsidR="006D2D71" w:rsidRPr="0037679B" w:rsidRDefault="006D2D71" w:rsidP="006E2E32">
      <w:pPr>
        <w:ind w:firstLine="284"/>
        <w:rPr>
          <w:rFonts w:ascii="Century Gothic" w:hAnsi="Century Gothic"/>
          <w:color w:val="000000"/>
          <w:sz w:val="18"/>
          <w:szCs w:val="18"/>
        </w:rPr>
      </w:pPr>
      <w:r w:rsidRPr="00B74AE3">
        <w:rPr>
          <w:rFonts w:ascii="Century Gothic" w:hAnsi="Century Gothic"/>
          <w:color w:val="000000"/>
          <w:sz w:val="18"/>
          <w:szCs w:val="18"/>
        </w:rPr>
        <w:t>The ARIMA intervention model can then be expressed as:</w:t>
      </w:r>
    </w:p>
    <w:tbl>
      <w:tblPr>
        <w:tblW w:w="0" w:type="auto"/>
        <w:tblLook w:val="04A0" w:firstRow="1" w:lastRow="0" w:firstColumn="1" w:lastColumn="0" w:noHBand="0" w:noVBand="1"/>
      </w:tblPr>
      <w:tblGrid>
        <w:gridCol w:w="4222"/>
        <w:gridCol w:w="449"/>
      </w:tblGrid>
      <w:tr w:rsidR="006D2D71" w:rsidRPr="0037679B" w14:paraId="4094166D" w14:textId="77777777">
        <w:tc>
          <w:tcPr>
            <w:tcW w:w="8926" w:type="dxa"/>
          </w:tcPr>
          <w:p w14:paraId="4C19855D" w14:textId="16325717" w:rsidR="006D2D71" w:rsidRPr="00DC6B0A" w:rsidRDefault="00000000" w:rsidP="006E2E32">
            <w:pPr>
              <w:rPr>
                <w:rFonts w:ascii="Century Gothic" w:hAnsi="Century Gothic"/>
                <w:color w:val="000000"/>
                <w:sz w:val="18"/>
                <w:szCs w:val="18"/>
              </w:rPr>
            </w:pPr>
            <m:oMathPara>
              <m:oMath>
                <m:sSub>
                  <m:sSubPr>
                    <m:ctrlPr>
                      <w:rPr>
                        <w:rFonts w:ascii="Cambria Math" w:hAnsi="Cambria Math"/>
                        <w:i/>
                        <w:color w:val="000000"/>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sz w:val="18"/>
                    <w:szCs w:val="18"/>
                  </w:rPr>
                  <m:t>=</m:t>
                </m:r>
                <m:f>
                  <m:fPr>
                    <m:ctrlPr>
                      <w:rPr>
                        <w:rFonts w:ascii="Cambria Math" w:hAnsi="Cambria Math"/>
                        <w:i/>
                        <w:color w:val="000000"/>
                        <w:sz w:val="18"/>
                        <w:szCs w:val="18"/>
                      </w:rPr>
                    </m:ctrlPr>
                  </m:fPr>
                  <m:num>
                    <m:r>
                      <w:rPr>
                        <w:rFonts w:ascii="Cambria Math" w:hAnsi="Cambria Math"/>
                        <w:sz w:val="18"/>
                        <w:szCs w:val="18"/>
                      </w:rPr>
                      <m:t>ω</m:t>
                    </m:r>
                  </m:num>
                  <m:den>
                    <m:r>
                      <w:rPr>
                        <w:rFonts w:ascii="Cambria Math" w:hAnsi="Cambria Math"/>
                        <w:sz w:val="18"/>
                        <w:szCs w:val="18"/>
                      </w:rPr>
                      <m:t>1-δB</m:t>
                    </m:r>
                  </m:den>
                </m:f>
                <m:sSub>
                  <m:sSubPr>
                    <m:ctrlPr>
                      <w:rPr>
                        <w:rFonts w:ascii="Cambria Math" w:hAnsi="Cambria Math"/>
                        <w:i/>
                        <w:color w:val="000000"/>
                        <w:sz w:val="18"/>
                        <w:szCs w:val="18"/>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color w:val="000000"/>
                        <w:sz w:val="18"/>
                        <w:szCs w:val="18"/>
                      </w:rPr>
                    </m:ctrlPr>
                  </m:sSubPr>
                  <m:e>
                    <m:r>
                      <w:rPr>
                        <w:rFonts w:ascii="Cambria Math" w:hAnsi="Cambria Math"/>
                        <w:sz w:val="18"/>
                        <w:szCs w:val="18"/>
                      </w:rPr>
                      <m:t>N</m:t>
                    </m:r>
                  </m:e>
                  <m:sub>
                    <m:r>
                      <w:rPr>
                        <w:rFonts w:ascii="Cambria Math" w:hAnsi="Cambria Math"/>
                        <w:sz w:val="18"/>
                        <w:szCs w:val="18"/>
                      </w:rPr>
                      <m:t>t</m:t>
                    </m:r>
                  </m:sub>
                </m:sSub>
              </m:oMath>
            </m:oMathPara>
          </w:p>
        </w:tc>
        <w:tc>
          <w:tcPr>
            <w:tcW w:w="424" w:type="dxa"/>
          </w:tcPr>
          <w:p w14:paraId="0A1E1EE6" w14:textId="77777777" w:rsidR="006D2D71" w:rsidRDefault="006D2D71" w:rsidP="006E2E32">
            <w:pPr>
              <w:rPr>
                <w:rFonts w:ascii="Century Gothic" w:hAnsi="Century Gothic"/>
                <w:color w:val="000000"/>
                <w:sz w:val="18"/>
                <w:szCs w:val="18"/>
              </w:rPr>
            </w:pPr>
            <w:r>
              <w:rPr>
                <w:rFonts w:ascii="Century Gothic" w:hAnsi="Century Gothic"/>
                <w:color w:val="000000"/>
                <w:sz w:val="18"/>
                <w:szCs w:val="18"/>
              </w:rPr>
              <w:t>(3)</w:t>
            </w:r>
          </w:p>
        </w:tc>
      </w:tr>
    </w:tbl>
    <w:p w14:paraId="3A640A30" w14:textId="77777777" w:rsidR="00965BB1" w:rsidRDefault="006D2D71" w:rsidP="006E2E32">
      <w:pPr>
        <w:rPr>
          <w:rFonts w:ascii="Century Gothic" w:hAnsi="Century Gothic"/>
          <w:color w:val="000000"/>
          <w:sz w:val="18"/>
          <w:szCs w:val="18"/>
        </w:rPr>
      </w:pPr>
      <w:r w:rsidRPr="00B74AE3">
        <w:rPr>
          <w:rFonts w:ascii="Century Gothic" w:hAnsi="Century Gothic"/>
          <w:color w:val="000000"/>
          <w:sz w:val="18"/>
          <w:szCs w:val="18"/>
        </w:rPr>
        <w:t>where </w:t>
      </w:r>
      <m:oMath>
        <m:sSub>
          <m:sSubPr>
            <m:ctrlPr>
              <w:rPr>
                <w:rFonts w:ascii="Cambria Math" w:hAnsi="Cambria Math"/>
                <w:i/>
                <w:color w:val="000000"/>
                <w:sz w:val="18"/>
                <w:szCs w:val="18"/>
              </w:rPr>
            </m:ctrlPr>
          </m:sSubPr>
          <m:e>
            <m:r>
              <w:rPr>
                <w:rFonts w:ascii="Cambria Math" w:hAnsi="Cambria Math"/>
                <w:color w:val="000000"/>
                <w:sz w:val="18"/>
                <w:szCs w:val="18"/>
              </w:rPr>
              <m:t>Y</m:t>
            </m:r>
          </m:e>
          <m:sub>
            <m:r>
              <w:rPr>
                <w:rFonts w:ascii="Cambria Math" w:hAnsi="Cambria Math"/>
                <w:color w:val="000000"/>
                <w:sz w:val="18"/>
                <w:szCs w:val="18"/>
              </w:rPr>
              <m:t>t</m:t>
            </m:r>
          </m:sub>
        </m:sSub>
      </m:oMath>
      <w:r w:rsidRPr="00B74AE3">
        <w:rPr>
          <w:rFonts w:ascii="Century Gothic" w:hAnsi="Century Gothic"/>
          <w:color w:val="000000"/>
          <w:sz w:val="18"/>
          <w:szCs w:val="18"/>
        </w:rPr>
        <w:t> is the intervention variable, </w:t>
      </w:r>
      <m:oMath>
        <m:r>
          <w:rPr>
            <w:rFonts w:ascii="Cambria Math" w:hAnsi="Cambria Math"/>
            <w:color w:val="000000"/>
            <w:sz w:val="18"/>
            <w:szCs w:val="18"/>
          </w:rPr>
          <m:t>ω</m:t>
        </m:r>
      </m:oMath>
      <w:r w:rsidRPr="00B74AE3">
        <w:rPr>
          <w:rFonts w:ascii="Century Gothic" w:hAnsi="Century Gothic"/>
          <w:color w:val="000000"/>
          <w:sz w:val="18"/>
          <w:szCs w:val="18"/>
        </w:rPr>
        <w:t> represents the magnitude of the intervention effect, δ reflects the dynamic adjustment process, and </w:t>
      </w:r>
      <m:oMath>
        <m:sSub>
          <m:sSubPr>
            <m:ctrlPr>
              <w:rPr>
                <w:rFonts w:ascii="Cambria Math" w:hAnsi="Cambria Math"/>
                <w:i/>
                <w:color w:val="000000"/>
                <w:sz w:val="18"/>
                <w:szCs w:val="18"/>
              </w:rPr>
            </m:ctrlPr>
          </m:sSubPr>
          <m:e>
            <m:r>
              <w:rPr>
                <w:rFonts w:ascii="Cambria Math" w:hAnsi="Cambria Math"/>
                <w:color w:val="000000"/>
                <w:sz w:val="18"/>
                <w:szCs w:val="18"/>
              </w:rPr>
              <m:t>N</m:t>
            </m:r>
          </m:e>
          <m:sub>
            <m:r>
              <w:rPr>
                <w:rFonts w:ascii="Cambria Math" w:hAnsi="Cambria Math"/>
                <w:color w:val="000000"/>
                <w:sz w:val="18"/>
                <w:szCs w:val="18"/>
              </w:rPr>
              <m:t>t</m:t>
            </m:r>
          </m:sub>
        </m:sSub>
      </m:oMath>
      <w:r w:rsidRPr="0037679B">
        <w:rPr>
          <w:rFonts w:ascii="Century Gothic" w:hAnsi="Century Gothic"/>
          <w:color w:val="000000"/>
          <w:sz w:val="18"/>
          <w:szCs w:val="18"/>
        </w:rPr>
        <w:t xml:space="preserve"> </w:t>
      </w:r>
      <w:r w:rsidRPr="00B74AE3">
        <w:rPr>
          <w:rFonts w:ascii="Century Gothic" w:hAnsi="Century Gothic"/>
          <w:color w:val="000000"/>
          <w:sz w:val="18"/>
          <w:szCs w:val="18"/>
        </w:rPr>
        <w:t>follows an ARIMA process.</w:t>
      </w:r>
    </w:p>
    <w:p w14:paraId="3B6E9C49" w14:textId="342CEBEF" w:rsidR="006D2D71" w:rsidRDefault="006D2D71" w:rsidP="006E2E32">
      <w:pPr>
        <w:rPr>
          <w:rFonts w:ascii="Century Gothic" w:hAnsi="Century Gothic"/>
          <w:color w:val="000000"/>
          <w:sz w:val="18"/>
          <w:szCs w:val="18"/>
        </w:rPr>
      </w:pPr>
      <w:r w:rsidRPr="00B74AE3">
        <w:rPr>
          <w:rFonts w:ascii="Century Gothic" w:hAnsi="Century Gothic"/>
          <w:color w:val="000000"/>
          <w:sz w:val="18"/>
          <w:szCs w:val="18"/>
        </w:rPr>
        <w:t>This specification is particularly appropriate when the impact of a policy is expected to persist over time, resulting in a long-term shift in the behavior of the series</w:t>
      </w:r>
      <w:r w:rsidRPr="0037679B">
        <w:rPr>
          <w:rFonts w:ascii="Century Gothic" w:hAnsi="Century Gothic"/>
          <w:color w:val="000000"/>
          <w:sz w:val="18"/>
          <w:szCs w:val="18"/>
        </w:rPr>
        <w:t>.</w:t>
      </w:r>
      <w:r w:rsidR="00CB56F2" w:rsidRPr="00CB56F2">
        <w:t xml:space="preserve"> </w:t>
      </w:r>
      <w:r w:rsidR="00CB56F2" w:rsidRPr="00CB56F2">
        <w:rPr>
          <w:rFonts w:ascii="Century Gothic" w:hAnsi="Century Gothic"/>
          <w:color w:val="000000"/>
          <w:sz w:val="18"/>
          <w:szCs w:val="18"/>
        </w:rPr>
        <w:t>The following is a flowchart illustrating the use of the ARIMA intervention function</w:t>
      </w:r>
      <w:r w:rsidR="00CB56F2">
        <w:rPr>
          <w:rFonts w:ascii="Century Gothic" w:hAnsi="Century Gothic"/>
          <w:color w:val="000000"/>
          <w:sz w:val="18"/>
          <w:szCs w:val="18"/>
        </w:rPr>
        <w:t>.</w:t>
      </w:r>
    </w:p>
    <w:p w14:paraId="7FE88AFE" w14:textId="7097E1BF" w:rsidR="00BB3BD8" w:rsidRDefault="005C64E2" w:rsidP="006E2E32">
      <w:pPr>
        <w:keepNext/>
        <w:jc w:val="center"/>
      </w:pPr>
      <w:r>
        <w:rPr>
          <w:rFonts w:ascii="Century Gothic" w:hAnsi="Century Gothic"/>
          <w:noProof/>
          <w:color w:val="000000"/>
          <w:sz w:val="18"/>
          <w:szCs w:val="18"/>
        </w:rPr>
        <w:drawing>
          <wp:inline distT="0" distB="0" distL="0" distR="0" wp14:anchorId="37FD877F" wp14:editId="735BE9D2">
            <wp:extent cx="2761414" cy="3085427"/>
            <wp:effectExtent l="0" t="0" r="0" b="1270"/>
            <wp:docPr id="127620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373" r="36740"/>
                    <a:stretch>
                      <a:fillRect/>
                    </a:stretch>
                  </pic:blipFill>
                  <pic:spPr bwMode="auto">
                    <a:xfrm>
                      <a:off x="0" y="0"/>
                      <a:ext cx="2921272" cy="3264042"/>
                    </a:xfrm>
                    <a:prstGeom prst="rect">
                      <a:avLst/>
                    </a:prstGeom>
                    <a:noFill/>
                    <a:ln>
                      <a:noFill/>
                    </a:ln>
                    <a:extLst>
                      <a:ext uri="{53640926-AAD7-44D8-BBD7-CCE9431645EC}">
                        <a14:shadowObscured xmlns:a14="http://schemas.microsoft.com/office/drawing/2010/main"/>
                      </a:ext>
                    </a:extLst>
                  </pic:spPr>
                </pic:pic>
              </a:graphicData>
            </a:graphic>
          </wp:inline>
        </w:drawing>
      </w:r>
    </w:p>
    <w:p w14:paraId="2E5A25D8" w14:textId="4A4F35FF" w:rsidR="00B4011A" w:rsidRDefault="00BB3BD8" w:rsidP="006E2E32">
      <w:pPr>
        <w:pStyle w:val="Caption"/>
        <w:jc w:val="center"/>
        <w:rPr>
          <w:rFonts w:ascii="Century Gothic" w:hAnsi="Century Gothic"/>
          <w:color w:val="000000"/>
        </w:rPr>
      </w:pPr>
      <w:r w:rsidRPr="00BB3BD8">
        <w:rPr>
          <w:rFonts w:ascii="Century Gothic" w:hAnsi="Century Gothic"/>
          <w:b/>
          <w:bCs/>
        </w:rPr>
        <w:t xml:space="preserve">Figure </w:t>
      </w:r>
      <w:r w:rsidRPr="00BB3BD8">
        <w:rPr>
          <w:rFonts w:ascii="Century Gothic" w:hAnsi="Century Gothic"/>
          <w:b/>
          <w:bCs/>
        </w:rPr>
        <w:fldChar w:fldCharType="begin"/>
      </w:r>
      <w:r w:rsidRPr="00BB3BD8">
        <w:rPr>
          <w:rFonts w:ascii="Century Gothic" w:hAnsi="Century Gothic"/>
          <w:b/>
          <w:bCs/>
        </w:rPr>
        <w:instrText xml:space="preserve"> SEQ Figure \* ARABIC </w:instrText>
      </w:r>
      <w:r w:rsidRPr="00BB3BD8">
        <w:rPr>
          <w:rFonts w:ascii="Century Gothic" w:hAnsi="Century Gothic"/>
          <w:b/>
          <w:bCs/>
        </w:rPr>
        <w:fldChar w:fldCharType="separate"/>
      </w:r>
      <w:r>
        <w:rPr>
          <w:rFonts w:ascii="Century Gothic" w:hAnsi="Century Gothic"/>
          <w:b/>
          <w:bCs/>
          <w:noProof/>
        </w:rPr>
        <w:t>1</w:t>
      </w:r>
      <w:r w:rsidRPr="00BB3BD8">
        <w:rPr>
          <w:rFonts w:ascii="Century Gothic" w:hAnsi="Century Gothic"/>
          <w:b/>
          <w:bCs/>
        </w:rPr>
        <w:fldChar w:fldCharType="end"/>
      </w:r>
      <w:r>
        <w:rPr>
          <w:rFonts w:ascii="Century Gothic" w:hAnsi="Century Gothic"/>
          <w:b/>
          <w:bCs/>
        </w:rPr>
        <w:t xml:space="preserve">. </w:t>
      </w:r>
      <w:r>
        <w:rPr>
          <w:rFonts w:ascii="Century Gothic" w:hAnsi="Century Gothic"/>
        </w:rPr>
        <w:t>A</w:t>
      </w:r>
      <w:r>
        <w:rPr>
          <w:rFonts w:ascii="Century Gothic" w:hAnsi="Century Gothic"/>
          <w:color w:val="000000"/>
        </w:rPr>
        <w:t>RIMA</w:t>
      </w:r>
      <w:r w:rsidR="002139CA">
        <w:rPr>
          <w:rFonts w:ascii="Century Gothic" w:hAnsi="Century Gothic"/>
          <w:color w:val="000000"/>
        </w:rPr>
        <w:t xml:space="preserve"> </w:t>
      </w:r>
      <w:proofErr w:type="gramStart"/>
      <w:r w:rsidR="002139CA">
        <w:rPr>
          <w:rFonts w:ascii="Century Gothic" w:hAnsi="Century Gothic"/>
          <w:color w:val="000000"/>
        </w:rPr>
        <w:t xml:space="preserve">with </w:t>
      </w:r>
      <w:r w:rsidR="009C72B0">
        <w:rPr>
          <w:rFonts w:ascii="Century Gothic" w:hAnsi="Century Gothic"/>
          <w:color w:val="000000"/>
        </w:rPr>
        <w:t xml:space="preserve"> Intervention</w:t>
      </w:r>
      <w:proofErr w:type="gramEnd"/>
      <w:r w:rsidRPr="00BB3BD8">
        <w:rPr>
          <w:rFonts w:ascii="Century Gothic" w:hAnsi="Century Gothic"/>
          <w:color w:val="000000"/>
        </w:rPr>
        <w:t xml:space="preserve"> </w:t>
      </w:r>
      <w:r w:rsidR="009C72B0">
        <w:rPr>
          <w:rFonts w:ascii="Century Gothic" w:hAnsi="Century Gothic"/>
          <w:color w:val="000000"/>
        </w:rPr>
        <w:t>flowchart</w:t>
      </w:r>
    </w:p>
    <w:p w14:paraId="32B1F450" w14:textId="77777777" w:rsidR="007346AA" w:rsidRDefault="007346AA" w:rsidP="006E2E32">
      <w:pPr>
        <w:rPr>
          <w:rFonts w:ascii="Century Gothic" w:hAnsi="Century Gothic"/>
          <w:b/>
          <w:bCs/>
          <w:color w:val="943634"/>
          <w:sz w:val="18"/>
          <w:szCs w:val="18"/>
        </w:rPr>
      </w:pPr>
      <w:proofErr w:type="gramStart"/>
      <w:r w:rsidRPr="00E00D7C">
        <w:rPr>
          <w:rFonts w:ascii="Century Gothic" w:hAnsi="Century Gothic"/>
          <w:b/>
          <w:bCs/>
          <w:color w:val="943634"/>
          <w:sz w:val="18"/>
          <w:szCs w:val="18"/>
        </w:rPr>
        <w:lastRenderedPageBreak/>
        <w:t>2.3  Support</w:t>
      </w:r>
      <w:proofErr w:type="gramEnd"/>
      <w:r w:rsidRPr="00E00D7C">
        <w:rPr>
          <w:rFonts w:ascii="Century Gothic" w:hAnsi="Century Gothic"/>
          <w:b/>
          <w:bCs/>
          <w:color w:val="943634"/>
          <w:sz w:val="18"/>
          <w:szCs w:val="18"/>
        </w:rPr>
        <w:t xml:space="preserve"> Vector Regression with Intervention Dummy Variables (SVRX)</w:t>
      </w:r>
    </w:p>
    <w:p w14:paraId="1F265AD6" w14:textId="77777777" w:rsidR="00E00D7C" w:rsidRPr="00E00D7C" w:rsidRDefault="00E00D7C" w:rsidP="006E2E32">
      <w:pPr>
        <w:rPr>
          <w:rFonts w:ascii="Century Gothic" w:hAnsi="Century Gothic"/>
          <w:color w:val="943634"/>
          <w:sz w:val="18"/>
          <w:szCs w:val="18"/>
        </w:rPr>
      </w:pPr>
    </w:p>
    <w:p w14:paraId="6FF670EF" w14:textId="77777777" w:rsidR="007346AA" w:rsidRDefault="007346AA" w:rsidP="006E2E32">
      <w:pPr>
        <w:rPr>
          <w:rFonts w:ascii="Century Gothic" w:hAnsi="Century Gothic"/>
          <w:b/>
          <w:bCs/>
          <w:color w:val="943634"/>
          <w:sz w:val="18"/>
          <w:szCs w:val="18"/>
        </w:rPr>
      </w:pPr>
      <w:proofErr w:type="gramStart"/>
      <w:r w:rsidRPr="00E00D7C">
        <w:rPr>
          <w:rFonts w:ascii="Century Gothic" w:hAnsi="Century Gothic"/>
          <w:b/>
          <w:bCs/>
          <w:color w:val="943634"/>
          <w:sz w:val="18"/>
          <w:szCs w:val="18"/>
        </w:rPr>
        <w:t>2.3.1  SVR</w:t>
      </w:r>
      <w:proofErr w:type="gramEnd"/>
      <w:r w:rsidRPr="00E00D7C">
        <w:rPr>
          <w:rFonts w:ascii="Century Gothic" w:hAnsi="Century Gothic"/>
          <w:b/>
          <w:bCs/>
          <w:color w:val="943634"/>
          <w:sz w:val="18"/>
          <w:szCs w:val="18"/>
        </w:rPr>
        <w:t xml:space="preserve"> Regression Function</w:t>
      </w:r>
    </w:p>
    <w:p w14:paraId="0F332255" w14:textId="77777777" w:rsidR="00E00D7C" w:rsidRPr="00E00D7C" w:rsidRDefault="00E00D7C" w:rsidP="006E2E32">
      <w:pPr>
        <w:rPr>
          <w:rFonts w:ascii="Century Gothic" w:hAnsi="Century Gothic"/>
          <w:color w:val="943634"/>
          <w:sz w:val="18"/>
          <w:szCs w:val="18"/>
        </w:rPr>
      </w:pPr>
    </w:p>
    <w:p w14:paraId="5C5772CA" w14:textId="509FA283" w:rsidR="007346AA" w:rsidRDefault="007346AA" w:rsidP="00F3357C">
      <w:pPr>
        <w:rPr>
          <w:rFonts w:ascii="Century Gothic" w:hAnsi="Century Gothic"/>
          <w:sz w:val="18"/>
          <w:szCs w:val="18"/>
        </w:rPr>
      </w:pPr>
      <w:r w:rsidRPr="00BC5552">
        <w:rPr>
          <w:rFonts w:ascii="Century Gothic" w:hAnsi="Century Gothic"/>
          <w:sz w:val="18"/>
          <w:szCs w:val="18"/>
        </w:rPr>
        <w:t xml:space="preserve">SVR is a kernel-based learning algorithm derived from </w:t>
      </w:r>
      <w:proofErr w:type="spellStart"/>
      <w:r w:rsidRPr="00BC5552">
        <w:rPr>
          <w:rFonts w:ascii="Century Gothic" w:hAnsi="Century Gothic"/>
          <w:sz w:val="18"/>
          <w:szCs w:val="18"/>
        </w:rPr>
        <w:t>Vapnik’s</w:t>
      </w:r>
      <w:proofErr w:type="spellEnd"/>
      <w:r w:rsidRPr="00BC5552">
        <w:rPr>
          <w:rFonts w:ascii="Century Gothic" w:hAnsi="Century Gothic"/>
          <w:sz w:val="18"/>
          <w:szCs w:val="18"/>
        </w:rPr>
        <w:t xml:space="preserve"> (1995) principle of structural risk </w:t>
      </w:r>
      <w:proofErr w:type="spellStart"/>
      <w:r w:rsidRPr="00BC5552">
        <w:rPr>
          <w:rFonts w:ascii="Century Gothic" w:hAnsi="Century Gothic"/>
          <w:sz w:val="18"/>
          <w:szCs w:val="18"/>
        </w:rPr>
        <w:t>minimisation</w:t>
      </w:r>
      <w:proofErr w:type="spellEnd"/>
      <w:r w:rsidRPr="00BC5552">
        <w:rPr>
          <w:rFonts w:ascii="Century Gothic" w:hAnsi="Century Gothic"/>
          <w:sz w:val="18"/>
          <w:szCs w:val="18"/>
        </w:rPr>
        <w:t xml:space="preserve"> (SRM), which controls model complexity by </w:t>
      </w:r>
      <w:proofErr w:type="spellStart"/>
      <w:r w:rsidRPr="00BC5552">
        <w:rPr>
          <w:rFonts w:ascii="Century Gothic" w:hAnsi="Century Gothic"/>
          <w:sz w:val="18"/>
          <w:szCs w:val="18"/>
        </w:rPr>
        <w:t>minimising</w:t>
      </w:r>
      <w:proofErr w:type="spellEnd"/>
      <w:r w:rsidRPr="00BC5552">
        <w:rPr>
          <w:rFonts w:ascii="Century Gothic" w:hAnsi="Century Gothic"/>
          <w:sz w:val="18"/>
          <w:szCs w:val="18"/>
        </w:rPr>
        <w:t xml:space="preserve"> an upper bound on the </w:t>
      </w:r>
      <w:proofErr w:type="spellStart"/>
      <w:r w:rsidRPr="00BC5552">
        <w:rPr>
          <w:rFonts w:ascii="Century Gothic" w:hAnsi="Century Gothic"/>
          <w:sz w:val="18"/>
          <w:szCs w:val="18"/>
        </w:rPr>
        <w:t>generalisation</w:t>
      </w:r>
      <w:proofErr w:type="spellEnd"/>
      <w:r w:rsidRPr="00BC5552">
        <w:rPr>
          <w:rFonts w:ascii="Century Gothic" w:hAnsi="Century Gothic"/>
          <w:sz w:val="18"/>
          <w:szCs w:val="18"/>
        </w:rPr>
        <w:t xml:space="preserve"> error rather than the training error alone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{"citationItems":[{"id":"ITEM-1","itemData":{"DOI":"https://doi.org/10.1007/978-1-4757-3264-1","ISBN":"9781441931603","author":[{"dropping-particle":"","family":"Vapnik","given":"Vladimir N.","non-dropping-particle":"","parse-names":false,"suffix":""}],"id":"ITEM-1","issued":{"date-parts":[["2000"]]},"title":"Statistics for Engineering and Information Science) Vladimir N. Vapnik - The Nature of Statistical Learning Theory-Springer (2000).pdf","type":"book"},"uris":["http://www.mendeley.com/documents/?uuid=5a101e62-556b-45b3-a1fd-7ccc9a2462ff"]}],"mendeley":{"formattedCitation":"[12]","plainTextFormattedCitation":"[12]","previouslyFormattedCitation":"[12]"},"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[12]</w:t>
      </w:r>
      <w:r w:rsidR="001F75DD">
        <w:rPr>
          <w:rFonts w:ascii="Century Gothic" w:hAnsi="Century Gothic"/>
          <w:sz w:val="18"/>
          <w:szCs w:val="18"/>
        </w:rPr>
        <w:fldChar w:fldCharType="end"/>
      </w:r>
      <w:r w:rsidRPr="00BC5552">
        <w:rPr>
          <w:rFonts w:ascii="Century Gothic" w:hAnsi="Century Gothic"/>
          <w:sz w:val="18"/>
          <w:szCs w:val="18"/>
        </w:rPr>
        <w:t xml:space="preserve">. Given a training set </w:t>
      </w:r>
      <m:oMath>
        <m:r>
          <m:rPr>
            <m:lit/>
          </m:rPr>
          <w:rPr>
            <w:rFonts w:ascii="Cambria Math" w:hAnsi="Cambria Math"/>
            <w:sz w:val="18"/>
            <w:szCs w:val="18"/>
          </w:rPr>
          <m:t>{</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i</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vertAlign w:val="subscript"/>
                  </w:rPr>
                  <m:t>i</m:t>
                </m:r>
              </m:sub>
            </m:sSub>
          </m:e>
        </m:d>
        <m:r>
          <m:rPr>
            <m:lit/>
          </m:rPr>
          <w:rPr>
            <w:rFonts w:ascii="Cambria Math" w:hAnsi="Cambria Math"/>
            <w:sz w:val="18"/>
            <w:szCs w:val="18"/>
          </w:rPr>
          <m:t>}</m:t>
        </m:r>
        <m:r>
          <w:rPr>
            <w:rFonts w:ascii="Cambria Math" w:hAnsi="Cambria Math"/>
            <w:sz w:val="18"/>
            <w:szCs w:val="18"/>
            <w:vertAlign w:val="subscript"/>
          </w:rPr>
          <m:t>i=1</m:t>
        </m:r>
        <m:r>
          <w:rPr>
            <w:rFonts w:ascii="Cambria Math" w:hAnsi="Cambria Math"/>
            <w:sz w:val="18"/>
            <w:szCs w:val="18"/>
            <w:vertAlign w:val="superscript"/>
          </w:rPr>
          <m:t>n</m:t>
        </m:r>
        <m:r>
          <w:rPr>
            <w:rFonts w:ascii="Cambria Math" w:hAnsi="Cambria Math"/>
            <w:sz w:val="18"/>
            <w:szCs w:val="18"/>
          </w:rPr>
          <m:t>, x</m:t>
        </m:r>
        <m:r>
          <w:rPr>
            <w:rFonts w:ascii="Cambria Math" w:hAnsi="Cambria Math"/>
            <w:sz w:val="18"/>
            <w:szCs w:val="18"/>
            <w:vertAlign w:val="subscript"/>
          </w:rPr>
          <m:t>i</m:t>
        </m:r>
        <m:r>
          <m:rPr>
            <m:scr m:val="double-struck"/>
          </m:rPr>
          <w:rPr>
            <w:rFonts w:ascii="Cambria Math" w:hAnsi="Cambria Math" w:cs="Cambria Math"/>
            <w:sz w:val="18"/>
            <w:szCs w:val="18"/>
          </w:rPr>
          <m:t>∈R</m:t>
        </m:r>
        <m:r>
          <w:rPr>
            <w:rFonts w:ascii="Cambria Math" w:hAnsi="Cambria Math"/>
            <w:sz w:val="18"/>
            <w:szCs w:val="18"/>
            <w:vertAlign w:val="superscript"/>
          </w:rPr>
          <m:t>p</m:t>
        </m:r>
        <m:r>
          <w:rPr>
            <w:rFonts w:ascii="Cambria Math" w:hAnsi="Cambria Math"/>
            <w:sz w:val="18"/>
            <w:szCs w:val="18"/>
          </w:rPr>
          <m:t>, y</m:t>
        </m:r>
        <m:r>
          <w:rPr>
            <w:rFonts w:ascii="Cambria Math" w:hAnsi="Cambria Math"/>
            <w:sz w:val="18"/>
            <w:szCs w:val="18"/>
            <w:vertAlign w:val="subscript"/>
          </w:rPr>
          <m:t>i</m:t>
        </m:r>
        <m:r>
          <m:rPr>
            <m:scr m:val="double-struck"/>
          </m:rPr>
          <w:rPr>
            <w:rFonts w:ascii="Cambria Math" w:hAnsi="Cambria Math" w:cs="Cambria Math"/>
            <w:sz w:val="18"/>
            <w:szCs w:val="18"/>
          </w:rPr>
          <m:t>∈R</m:t>
        </m:r>
      </m:oMath>
      <w:r w:rsidRPr="00BC5552">
        <w:rPr>
          <w:rFonts w:ascii="Century Gothic" w:hAnsi="Century Gothic"/>
          <w:sz w:val="18"/>
          <w:szCs w:val="18"/>
        </w:rPr>
        <w:t>, the regression function is:</w:t>
      </w:r>
    </w:p>
    <w:tbl>
      <w:tblPr>
        <w:tblW w:w="0" w:type="auto"/>
        <w:tblLook w:val="04A0" w:firstRow="1" w:lastRow="0" w:firstColumn="1" w:lastColumn="0" w:noHBand="0" w:noVBand="1"/>
      </w:tblPr>
      <w:tblGrid>
        <w:gridCol w:w="4222"/>
        <w:gridCol w:w="449"/>
      </w:tblGrid>
      <w:tr w:rsidR="00727A10" w14:paraId="1AE997CE" w14:textId="77777777" w:rsidTr="00D542B1">
        <w:tc>
          <w:tcPr>
            <w:tcW w:w="8926" w:type="dxa"/>
          </w:tcPr>
          <w:p w14:paraId="4F5C63F0" w14:textId="04DE71A4" w:rsidR="00727A10" w:rsidRPr="00DC6B0A" w:rsidRDefault="00727A10" w:rsidP="00D542B1">
            <w:pPr>
              <w:rPr>
                <w:rFonts w:ascii="Century Gothic" w:hAnsi="Century Gothic"/>
                <w:color w:val="000000"/>
                <w:sz w:val="18"/>
                <w:szCs w:val="18"/>
              </w:rPr>
            </w:pPr>
            <m:oMathPara>
              <m:oMath>
                <m:r>
                  <w:rPr>
                    <w:rFonts w:ascii="Cambria Math" w:hAnsi="Cambria Math"/>
                    <w:sz w:val="18"/>
                    <w:szCs w:val="18"/>
                  </w:rPr>
                  <m:t>f</m:t>
                </m:r>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 xml:space="preserve">= </m:t>
                </m:r>
                <m:sSup>
                  <m:sSupPr>
                    <m:ctrlPr>
                      <w:rPr>
                        <w:rFonts w:ascii="Cambria Math" w:hAnsi="Cambria Math"/>
                        <w:i/>
                        <w:sz w:val="18"/>
                        <w:szCs w:val="18"/>
                      </w:rPr>
                    </m:ctrlPr>
                  </m:sSupPr>
                  <m:e>
                    <m:r>
                      <w:rPr>
                        <w:rFonts w:ascii="Cambria Math" w:hAnsi="Cambria Math"/>
                        <w:sz w:val="18"/>
                        <w:szCs w:val="18"/>
                      </w:rPr>
                      <m:t>w</m:t>
                    </m:r>
                  </m:e>
                  <m:sup>
                    <m:r>
                      <w:rPr>
                        <w:rFonts w:ascii="Cambria Math" w:hAnsi="Cambria Math"/>
                        <w:sz w:val="18"/>
                        <w:szCs w:val="18"/>
                        <w:vertAlign w:val="superscript"/>
                      </w:rPr>
                      <m:t>T</m:t>
                    </m:r>
                  </m:sup>
                </m:sSup>
                <m:r>
                  <w:rPr>
                    <w:rFonts w:ascii="Cambria Math" w:hAnsi="Cambria Math"/>
                    <w:sz w:val="18"/>
                    <w:szCs w:val="18"/>
                  </w:rPr>
                  <m:t>φ</m:t>
                </m:r>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 b</m:t>
                </m:r>
              </m:oMath>
            </m:oMathPara>
          </w:p>
        </w:tc>
        <w:tc>
          <w:tcPr>
            <w:tcW w:w="424" w:type="dxa"/>
          </w:tcPr>
          <w:p w14:paraId="2672BDD7" w14:textId="4FF7F582" w:rsidR="00727A10" w:rsidRDefault="00727A10" w:rsidP="00D542B1">
            <w:pPr>
              <w:rPr>
                <w:rFonts w:ascii="Century Gothic" w:hAnsi="Century Gothic"/>
                <w:color w:val="000000"/>
                <w:sz w:val="18"/>
                <w:szCs w:val="18"/>
              </w:rPr>
            </w:pPr>
            <w:r>
              <w:rPr>
                <w:rFonts w:ascii="Century Gothic" w:hAnsi="Century Gothic"/>
                <w:color w:val="000000"/>
                <w:sz w:val="18"/>
                <w:szCs w:val="18"/>
              </w:rPr>
              <w:t>(4)</w:t>
            </w:r>
          </w:p>
        </w:tc>
      </w:tr>
    </w:tbl>
    <w:p w14:paraId="7FC44F03" w14:textId="710F9556" w:rsidR="007346AA" w:rsidRDefault="007346AA" w:rsidP="006E2E32">
      <w:pPr>
        <w:ind w:firstLine="284"/>
        <w:rPr>
          <w:rFonts w:ascii="Century Gothic" w:hAnsi="Century Gothic"/>
          <w:sz w:val="18"/>
          <w:szCs w:val="18"/>
        </w:rPr>
      </w:pPr>
      <w:r w:rsidRPr="00BC5552">
        <w:rPr>
          <w:rFonts w:ascii="Century Gothic" w:hAnsi="Century Gothic"/>
          <w:sz w:val="18"/>
          <w:szCs w:val="18"/>
        </w:rPr>
        <w:t xml:space="preserve">where </w:t>
      </w:r>
      <w:r w:rsidRPr="00BC5552">
        <w:rPr>
          <w:rFonts w:ascii="Century Gothic" w:hAnsi="Century Gothic"/>
          <w:i/>
          <w:iCs/>
          <w:sz w:val="18"/>
          <w:szCs w:val="18"/>
        </w:rPr>
        <w:t>w</w:t>
      </w:r>
      <w:r w:rsidRPr="00BC5552">
        <w:rPr>
          <w:rFonts w:ascii="Century Gothic" w:hAnsi="Century Gothic"/>
          <w:sz w:val="18"/>
          <w:szCs w:val="18"/>
        </w:rPr>
        <w:t xml:space="preserve"> is the weight vector, </w:t>
      </w:r>
      <m:oMath>
        <m:r>
          <w:rPr>
            <w:rFonts w:ascii="Cambria Math" w:hAnsi="Cambria Math"/>
            <w:sz w:val="18"/>
            <w:szCs w:val="18"/>
          </w:rPr>
          <m:t>φ</m:t>
        </m:r>
        <m:d>
          <m:dPr>
            <m:ctrlPr>
              <w:rPr>
                <w:rFonts w:ascii="Cambria Math" w:hAnsi="Cambria Math"/>
                <w:i/>
                <w:sz w:val="18"/>
                <w:szCs w:val="18"/>
              </w:rPr>
            </m:ctrlPr>
          </m:dPr>
          <m:e>
            <m:r>
              <w:rPr>
                <w:rFonts w:ascii="Cambria Math" w:hAnsi="Cambria Math"/>
                <w:sz w:val="18"/>
                <w:szCs w:val="18"/>
              </w:rPr>
              <m:t>·</m:t>
            </m:r>
          </m:e>
        </m:d>
      </m:oMath>
      <w:r w:rsidRPr="00BC5552">
        <w:rPr>
          <w:rFonts w:ascii="Century Gothic" w:hAnsi="Century Gothic"/>
          <w:sz w:val="18"/>
          <w:szCs w:val="18"/>
        </w:rPr>
        <w:t xml:space="preserve"> maps inputs into a high-dimensional feature space, and </w:t>
      </w:r>
      <w:r w:rsidRPr="00BC5552">
        <w:rPr>
          <w:rFonts w:ascii="Century Gothic" w:hAnsi="Century Gothic"/>
          <w:i/>
          <w:iCs/>
          <w:sz w:val="18"/>
          <w:szCs w:val="18"/>
        </w:rPr>
        <w:t>b</w:t>
      </w:r>
      <w:r w:rsidRPr="00BC5552">
        <w:rPr>
          <w:rFonts w:ascii="Century Gothic" w:hAnsi="Century Gothic"/>
          <w:sz w:val="18"/>
          <w:szCs w:val="18"/>
        </w:rPr>
        <w:t xml:space="preserve"> is the bias term. </w:t>
      </w:r>
      <w:proofErr w:type="spellStart"/>
      <w:r w:rsidRPr="00BC5552">
        <w:rPr>
          <w:rFonts w:ascii="Century Gothic" w:hAnsi="Century Gothic"/>
          <w:sz w:val="18"/>
          <w:szCs w:val="18"/>
        </w:rPr>
        <w:t>Generalisability</w:t>
      </w:r>
      <w:proofErr w:type="spellEnd"/>
      <w:r w:rsidRPr="00BC5552">
        <w:rPr>
          <w:rFonts w:ascii="Century Gothic" w:hAnsi="Century Gothic"/>
          <w:sz w:val="18"/>
          <w:szCs w:val="18"/>
        </w:rPr>
        <w:t xml:space="preserve"> is enforced by </w:t>
      </w:r>
      <w:proofErr w:type="spellStart"/>
      <w:r w:rsidRPr="00BC5552">
        <w:rPr>
          <w:rFonts w:ascii="Century Gothic" w:hAnsi="Century Gothic"/>
          <w:sz w:val="18"/>
          <w:szCs w:val="18"/>
        </w:rPr>
        <w:t>minimising</w:t>
      </w:r>
      <w:proofErr w:type="spellEnd"/>
      <w:r w:rsidRPr="00BC5552">
        <w:rPr>
          <w:rFonts w:ascii="Century Gothic" w:hAnsi="Century Gothic"/>
          <w:sz w:val="18"/>
          <w:szCs w:val="18"/>
        </w:rPr>
        <w:t xml:space="preserve"> </w:t>
      </w:r>
      <m:oMath>
        <m:sSup>
          <m:sSupPr>
            <m:ctrlPr>
              <w:rPr>
                <w:rFonts w:ascii="Cambria Math" w:hAnsi="Cambria Math" w:cs="Century Gothic"/>
                <w:i/>
                <w:sz w:val="18"/>
                <w:szCs w:val="18"/>
              </w:rPr>
            </m:ctrlPr>
          </m:sSupPr>
          <m:e>
            <m:d>
              <m:dPr>
                <m:begChr m:val="‖"/>
                <m:endChr m:val="‖"/>
                <m:ctrlPr>
                  <w:rPr>
                    <w:rFonts w:ascii="Cambria Math" w:hAnsi="Cambria Math" w:cs="Arial"/>
                    <w:i/>
                    <w:sz w:val="18"/>
                    <w:szCs w:val="18"/>
                  </w:rPr>
                </m:ctrlPr>
              </m:dPr>
              <m:e>
                <m:r>
                  <w:rPr>
                    <w:rFonts w:ascii="Cambria Math" w:hAnsi="Cambria Math"/>
                    <w:sz w:val="18"/>
                    <w:szCs w:val="18"/>
                  </w:rPr>
                  <m:t>w</m:t>
                </m:r>
              </m:e>
            </m:d>
          </m:e>
          <m:sup>
            <m:r>
              <w:rPr>
                <w:rFonts w:ascii="Cambria Math" w:hAnsi="Cambria Math" w:cs="Century Gothic"/>
                <w:sz w:val="18"/>
                <w:szCs w:val="18"/>
              </w:rPr>
              <m:t>2</m:t>
            </m:r>
          </m:sup>
        </m:sSup>
      </m:oMath>
      <w:r w:rsidRPr="00BC5552">
        <w:rPr>
          <w:rFonts w:ascii="Century Gothic" w:hAnsi="Century Gothic"/>
          <w:sz w:val="18"/>
          <w:szCs w:val="18"/>
        </w:rPr>
        <w:t xml:space="preserve">, and errors within a margin of width </w:t>
      </w:r>
      <w:r w:rsidRPr="00BC5552">
        <w:rPr>
          <w:rFonts w:ascii="Century Gothic" w:hAnsi="Century Gothic"/>
          <w:i/>
          <w:iCs/>
          <w:sz w:val="18"/>
          <w:szCs w:val="18"/>
        </w:rPr>
        <w:t>ε</w:t>
      </w:r>
      <w:r w:rsidRPr="00BC5552">
        <w:rPr>
          <w:rFonts w:ascii="Century Gothic" w:hAnsi="Century Gothic"/>
          <w:sz w:val="18"/>
          <w:szCs w:val="18"/>
        </w:rPr>
        <w:t xml:space="preserve"> incur no penalty. Slack variables </w:t>
      </w:r>
      <m:oMath>
        <m:r>
          <w:rPr>
            <w:rFonts w:ascii="Cambria Math" w:hAnsi="Cambria Math"/>
            <w:sz w:val="18"/>
            <w:szCs w:val="18"/>
          </w:rPr>
          <m:t>ξ</m:t>
        </m:r>
        <m:r>
          <w:rPr>
            <w:rFonts w:ascii="Cambria Math" w:hAnsi="Cambria Math"/>
            <w:sz w:val="18"/>
            <w:szCs w:val="18"/>
            <w:vertAlign w:val="subscript"/>
          </w:rPr>
          <m:t>i</m:t>
        </m:r>
        <m:r>
          <w:rPr>
            <w:rFonts w:ascii="Cambria Math" w:hAnsi="Cambria Math"/>
            <w:sz w:val="18"/>
            <w:szCs w:val="18"/>
          </w:rPr>
          <m:t>, ξ</m:t>
        </m:r>
        <m:r>
          <w:rPr>
            <w:rFonts w:ascii="Cambria Math" w:hAnsi="Cambria Math"/>
            <w:sz w:val="18"/>
            <w:szCs w:val="18"/>
            <w:vertAlign w:val="subscript"/>
          </w:rPr>
          <m:t>i</m:t>
        </m:r>
        <m:r>
          <w:rPr>
            <w:rFonts w:ascii="Cambria Math" w:hAnsi="Cambria Math"/>
            <w:sz w:val="18"/>
            <w:szCs w:val="18"/>
            <w:vertAlign w:val="superscript"/>
          </w:rPr>
          <m:t>*</m:t>
        </m:r>
        <m:r>
          <w:rPr>
            <w:rFonts w:ascii="Cambria Math" w:hAnsi="Cambria Math"/>
            <w:sz w:val="18"/>
            <w:szCs w:val="18"/>
          </w:rPr>
          <m:t xml:space="preserve"> ≥ 0</m:t>
        </m:r>
      </m:oMath>
      <w:r w:rsidRPr="00BC5552">
        <w:rPr>
          <w:rFonts w:ascii="Century Gothic" w:hAnsi="Century Gothic"/>
          <w:sz w:val="18"/>
          <w:szCs w:val="18"/>
        </w:rPr>
        <w:t xml:space="preserve"> absorb violations beyond this margin. The soft-margin primal optimisation problem is</w:t>
      </w:r>
      <w:r w:rsidR="001F75DD">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https://doi.org/10.1023/B:STCO.0000035301.49549.88","author":[{"dropping-particle":"","family":"Smola","given":"Alex","non-dropping-particle":"","parse-names":false,"suffix":""},{"dropping-particle":"","family":"SCHOLKOPF","given":"BERNHARD","non-dropping-particle":"","parse-names":false,"suffix":""}],"container-title":"Statistics and Computing","id":"ITEM-1","issue":"3","issued":{"date-parts":[["2004"]]},"page":"199-222","title":"A tutorial on support vector regression","type":"article-journal","volume":"14"},"uris":["http://www.mendeley.com/documents/?uuid=c379f441-d6ef-4147-804b-9562b6760a11"]}],"mendeley":{"formattedCitation":"[13]","plainTextFormattedCitation":"[13]","previouslyFormattedCitation":"[13]"},"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[13]</w:t>
      </w:r>
      <w:r w:rsidR="001F75DD">
        <w:rPr>
          <w:rFonts w:ascii="Century Gothic" w:hAnsi="Century Gothic"/>
          <w:sz w:val="18"/>
          <w:szCs w:val="18"/>
        </w:rPr>
        <w:fldChar w:fldCharType="end"/>
      </w:r>
      <w:r w:rsidRPr="00BC5552">
        <w:rPr>
          <w:rFonts w:ascii="Century Gothic" w:hAnsi="Century Gothic"/>
          <w:sz w:val="18"/>
          <w:szCs w:val="18"/>
        </w:rPr>
        <w:t>:</w:t>
      </w:r>
    </w:p>
    <w:tbl>
      <w:tblPr>
        <w:tblW w:w="0" w:type="auto"/>
        <w:tblLook w:val="04A0" w:firstRow="1" w:lastRow="0" w:firstColumn="1" w:lastColumn="0" w:noHBand="0" w:noVBand="1"/>
      </w:tblPr>
      <w:tblGrid>
        <w:gridCol w:w="4222"/>
        <w:gridCol w:w="449"/>
      </w:tblGrid>
      <w:tr w:rsidR="00727A10" w14:paraId="25C28BCA" w14:textId="77777777" w:rsidTr="00D542B1">
        <w:tc>
          <w:tcPr>
            <w:tcW w:w="8926" w:type="dxa"/>
          </w:tcPr>
          <w:p w14:paraId="1D9640F1" w14:textId="21D8AB5B" w:rsidR="00727A10" w:rsidRPr="00DC6B0A" w:rsidRDefault="00727A10" w:rsidP="00D542B1">
            <w:pPr>
              <w:rPr>
                <w:rFonts w:ascii="Century Gothic" w:hAnsi="Century Gothic"/>
                <w:color w:val="000000"/>
                <w:sz w:val="18"/>
                <w:szCs w:val="18"/>
              </w:rPr>
            </w:pPr>
            <m:oMathPara>
              <m:oMath>
                <m:r>
                  <m:rPr>
                    <m:sty m:val="p"/>
                  </m:rPr>
                  <w:rPr>
                    <w:rFonts w:ascii="Cambria Math" w:hAnsi="Cambria Math"/>
                    <w:sz w:val="18"/>
                    <w:szCs w:val="18"/>
                  </w:rPr>
                  <m:t>min⁡</m:t>
                </m:r>
                <m:r>
                  <w:rPr>
                    <w:rFonts w:ascii="Cambria Math" w:hAnsi="Cambria Math"/>
                    <w:sz w:val="18"/>
                    <w:szCs w:val="18"/>
                  </w:rPr>
                  <m:t>½</m:t>
                </m:r>
                <m:sSup>
                  <m:sSupPr>
                    <m:ctrlPr>
                      <w:rPr>
                        <w:rFonts w:ascii="Cambria Math" w:hAnsi="Cambria Math" w:cs="Century Gothic"/>
                        <w:i/>
                        <w:sz w:val="18"/>
                        <w:szCs w:val="18"/>
                      </w:rPr>
                    </m:ctrlPr>
                  </m:sSupPr>
                  <m:e>
                    <m:d>
                      <m:dPr>
                        <m:begChr m:val="‖"/>
                        <m:endChr m:val="‖"/>
                        <m:ctrlPr>
                          <w:rPr>
                            <w:rFonts w:ascii="Cambria Math" w:hAnsi="Cambria Math" w:cs="Arial"/>
                            <w:i/>
                            <w:sz w:val="18"/>
                            <w:szCs w:val="18"/>
                          </w:rPr>
                        </m:ctrlPr>
                      </m:dPr>
                      <m:e>
                        <m:r>
                          <w:rPr>
                            <w:rFonts w:ascii="Cambria Math" w:hAnsi="Cambria Math"/>
                            <w:sz w:val="18"/>
                            <w:szCs w:val="18"/>
                          </w:rPr>
                          <m:t>w</m:t>
                        </m:r>
                      </m:e>
                    </m:d>
                  </m:e>
                  <m:sup>
                    <m:r>
                      <w:rPr>
                        <w:rFonts w:ascii="Cambria Math" w:hAnsi="Cambria Math" w:cs="Century Gothic"/>
                        <w:sz w:val="18"/>
                        <w:szCs w:val="18"/>
                      </w:rPr>
                      <m:t>2</m:t>
                    </m:r>
                  </m:sup>
                </m:sSup>
                <m:r>
                  <w:rPr>
                    <w:rFonts w:ascii="Cambria Math" w:hAnsi="Cambria Math"/>
                    <w:sz w:val="18"/>
                    <w:szCs w:val="18"/>
                  </w:rPr>
                  <m:t>+ C ∑</m:t>
                </m:r>
                <m:r>
                  <w:rPr>
                    <w:rFonts w:ascii="Cambria Math" w:hAnsi="Cambria Math"/>
                    <w:sz w:val="18"/>
                    <w:szCs w:val="18"/>
                    <w:vertAlign w:val="subscript"/>
                  </w:rPr>
                  <m:t>i=1</m:t>
                </m:r>
                <m:r>
                  <w:rPr>
                    <w:rFonts w:ascii="Cambria Math" w:hAnsi="Cambria Math"/>
                    <w:sz w:val="18"/>
                    <w:szCs w:val="18"/>
                    <w:vertAlign w:val="superscript"/>
                  </w:rPr>
                  <m:t>n</m:t>
                </m:r>
                <m:r>
                  <w:rPr>
                    <w:rFonts w:ascii="Cambria Math" w:hAnsi="Cambria Math"/>
                    <w:sz w:val="18"/>
                    <w:szCs w:val="18"/>
                  </w:rPr>
                  <m:t xml:space="preserve"> </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ξ</m:t>
                        </m:r>
                      </m:e>
                      <m:sub>
                        <m:r>
                          <w:rPr>
                            <w:rFonts w:ascii="Cambria Math" w:hAnsi="Cambria Math"/>
                            <w:sz w:val="18"/>
                            <w:szCs w:val="18"/>
                            <w:vertAlign w:val="subscript"/>
                          </w:rPr>
                          <m:t>i</m:t>
                        </m:r>
                      </m:sub>
                    </m:sSub>
                    <m:r>
                      <w:rPr>
                        <w:rFonts w:ascii="Cambria Math" w:hAnsi="Cambria Math"/>
                        <w:sz w:val="18"/>
                        <w:szCs w:val="18"/>
                      </w:rPr>
                      <m:t xml:space="preserve"> + </m:t>
                    </m:r>
                    <m:sSubSup>
                      <m:sSubSupPr>
                        <m:ctrlPr>
                          <w:rPr>
                            <w:rFonts w:ascii="Cambria Math" w:hAnsi="Cambria Math"/>
                            <w:i/>
                            <w:sz w:val="18"/>
                            <w:szCs w:val="18"/>
                            <w:vertAlign w:val="superscript"/>
                          </w:rPr>
                        </m:ctrlPr>
                      </m:sSubSupPr>
                      <m:e>
                        <m:r>
                          <w:rPr>
                            <w:rFonts w:ascii="Cambria Math" w:hAnsi="Cambria Math"/>
                            <w:sz w:val="18"/>
                            <w:szCs w:val="18"/>
                          </w:rPr>
                          <m:t>ξ</m:t>
                        </m:r>
                        <m:ctrlPr>
                          <w:rPr>
                            <w:rFonts w:ascii="Cambria Math" w:hAnsi="Cambria Math"/>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perscript"/>
                          </w:rPr>
                          <m:t>*</m:t>
                        </m:r>
                      </m:sup>
                    </m:sSubSup>
                  </m:e>
                </m:d>
              </m:oMath>
            </m:oMathPara>
          </w:p>
        </w:tc>
        <w:tc>
          <w:tcPr>
            <w:tcW w:w="424" w:type="dxa"/>
          </w:tcPr>
          <w:p w14:paraId="2846233C" w14:textId="540C2522" w:rsidR="00727A10" w:rsidRDefault="00727A10" w:rsidP="00D542B1">
            <w:pPr>
              <w:rPr>
                <w:rFonts w:ascii="Century Gothic" w:hAnsi="Century Gothic"/>
                <w:color w:val="000000"/>
                <w:sz w:val="18"/>
                <w:szCs w:val="18"/>
              </w:rPr>
            </w:pPr>
            <w:r>
              <w:rPr>
                <w:rFonts w:ascii="Century Gothic" w:hAnsi="Century Gothic"/>
                <w:color w:val="000000"/>
                <w:sz w:val="18"/>
                <w:szCs w:val="18"/>
              </w:rPr>
              <w:t>(5)</w:t>
            </w:r>
          </w:p>
        </w:tc>
      </w:tr>
    </w:tbl>
    <w:p w14:paraId="1CFAEE95" w14:textId="77777777" w:rsidR="007346AA" w:rsidRDefault="007346AA" w:rsidP="006E2E32">
      <w:pPr>
        <w:spacing w:after="50"/>
        <w:rPr>
          <w:rFonts w:ascii="Century Gothic" w:hAnsi="Century Gothic"/>
          <w:sz w:val="18"/>
          <w:szCs w:val="18"/>
        </w:rPr>
      </w:pPr>
      <w:r w:rsidRPr="00BC5552">
        <w:rPr>
          <w:rFonts w:ascii="Century Gothic" w:hAnsi="Century Gothic"/>
          <w:sz w:val="18"/>
          <w:szCs w:val="18"/>
        </w:rPr>
        <w:t>subject to:</w:t>
      </w:r>
    </w:p>
    <w:tbl>
      <w:tblPr>
        <w:tblW w:w="0" w:type="auto"/>
        <w:tblLook w:val="04A0" w:firstRow="1" w:lastRow="0" w:firstColumn="1" w:lastColumn="0" w:noHBand="0" w:noVBand="1"/>
      </w:tblPr>
      <w:tblGrid>
        <w:gridCol w:w="4222"/>
        <w:gridCol w:w="449"/>
      </w:tblGrid>
      <w:tr w:rsidR="00727A10" w14:paraId="1517B863" w14:textId="77777777" w:rsidTr="00D542B1">
        <w:tc>
          <w:tcPr>
            <w:tcW w:w="8926" w:type="dxa"/>
          </w:tcPr>
          <w:p w14:paraId="7D28F1DE" w14:textId="77777777" w:rsidR="00727A10" w:rsidRPr="00727A10" w:rsidRDefault="00727A10" w:rsidP="00727A10">
            <w:pPr>
              <w:spacing w:after="55"/>
              <w:rPr>
                <w:rFonts w:ascii="Century Gothic" w:hAnsi="Century Gothic"/>
                <w:sz w:val="18"/>
                <w:szCs w:val="18"/>
              </w:rPr>
            </w:pPr>
            <m:oMathPara>
              <m:oMath>
                <m:r>
                  <w:rPr>
                    <w:rFonts w:ascii="Cambria Math" w:hAnsi="Cambria Math"/>
                    <w:sz w:val="18"/>
                    <w:szCs w:val="18"/>
                    <w:vertAlign w:val="subscript"/>
                  </w:rPr>
                  <m:t>i</m:t>
                </m:r>
                <m:r>
                  <w:rPr>
                    <w:rFonts w:ascii="Cambria Math" w:hAnsi="Cambria Math"/>
                    <w:sz w:val="18"/>
                    <w:szCs w:val="18"/>
                  </w:rPr>
                  <m:t xml:space="preserve"> - w</m:t>
                </m:r>
                <m:r>
                  <w:rPr>
                    <w:rFonts w:ascii="Cambria Math" w:hAnsi="Cambria Math"/>
                    <w:sz w:val="18"/>
                    <w:szCs w:val="18"/>
                    <w:vertAlign w:val="superscript"/>
                  </w:rPr>
                  <m:t>T</m:t>
                </m:r>
                <m:r>
                  <w:rPr>
                    <w:rFonts w:ascii="Cambria Math" w:hAnsi="Cambria Math"/>
                    <w:sz w:val="18"/>
                    <w:szCs w:val="18"/>
                  </w:rPr>
                  <m:t>φ</m:t>
                </m:r>
                <m:d>
                  <m:dPr>
                    <m:ctrlPr>
                      <w:rPr>
                        <w:rFonts w:ascii="Cambria Math" w:hAnsi="Cambria Math"/>
                        <w:i/>
                        <w:sz w:val="18"/>
                        <w:szCs w:val="18"/>
                      </w:rPr>
                    </m:ctrlPr>
                  </m:dPr>
                  <m:e>
                    <m:r>
                      <w:rPr>
                        <w:rFonts w:ascii="Cambria Math" w:hAnsi="Cambria Math"/>
                        <w:sz w:val="18"/>
                        <w:szCs w:val="18"/>
                      </w:rPr>
                      <m:t>x</m:t>
                    </m:r>
                    <m:r>
                      <w:rPr>
                        <w:rFonts w:ascii="Cambria Math" w:hAnsi="Cambria Math"/>
                        <w:sz w:val="18"/>
                        <w:szCs w:val="18"/>
                        <w:vertAlign w:val="subscript"/>
                      </w:rPr>
                      <m:t>i</m:t>
                    </m:r>
                  </m:e>
                </m:d>
                <m:r>
                  <w:rPr>
                    <w:rFonts w:ascii="Cambria Math" w:hAnsi="Cambria Math"/>
                    <w:sz w:val="18"/>
                    <w:szCs w:val="18"/>
                  </w:rPr>
                  <m:t xml:space="preserve">- b  ≤  ε + </m:t>
                </m:r>
                <m:sSub>
                  <m:sSubPr>
                    <m:ctrlPr>
                      <w:rPr>
                        <w:rFonts w:ascii="Cambria Math" w:hAnsi="Cambria Math"/>
                        <w:i/>
                        <w:sz w:val="18"/>
                        <w:szCs w:val="18"/>
                      </w:rPr>
                    </m:ctrlPr>
                  </m:sSubPr>
                  <m:e>
                    <m:r>
                      <w:rPr>
                        <w:rFonts w:ascii="Cambria Math" w:hAnsi="Cambria Math"/>
                        <w:sz w:val="18"/>
                        <w:szCs w:val="18"/>
                      </w:rPr>
                      <m:t>ξ</m:t>
                    </m:r>
                  </m:e>
                  <m:sub>
                    <m:r>
                      <w:rPr>
                        <w:rFonts w:ascii="Cambria Math" w:hAnsi="Cambria Math"/>
                        <w:sz w:val="18"/>
                        <w:szCs w:val="18"/>
                        <w:vertAlign w:val="subscript"/>
                      </w:rPr>
                      <m:t>i</m:t>
                    </m:r>
                  </m:sub>
                </m:sSub>
                <m:r>
                  <w:rPr>
                    <w:rFonts w:ascii="Cambria Math" w:hAnsi="Cambria Math"/>
                    <w:sz w:val="18"/>
                    <w:szCs w:val="18"/>
                  </w:rPr>
                  <m:t xml:space="preserve">,    </m:t>
                </m:r>
              </m:oMath>
            </m:oMathPara>
          </w:p>
          <w:p w14:paraId="61B8CF32" w14:textId="61FE8B0A" w:rsidR="00727A10" w:rsidRPr="00727A10" w:rsidRDefault="00727A10" w:rsidP="00727A10">
            <w:pPr>
              <w:spacing w:after="55"/>
              <w:rPr>
                <w:rFonts w:ascii="Century Gothic" w:hAnsi="Century Gothic"/>
                <w:sz w:val="18"/>
                <w:szCs w:val="18"/>
              </w:rPr>
            </w:pPr>
            <m:oMathPara>
              <m:oMath>
                <m:r>
                  <w:rPr>
                    <w:rFonts w:ascii="Cambria Math" w:hAnsi="Cambria Math"/>
                    <w:sz w:val="18"/>
                    <w:szCs w:val="18"/>
                  </w:rPr>
                  <m:t xml:space="preserve"> </m:t>
                </m:r>
                <m:sSup>
                  <m:sSupPr>
                    <m:ctrlPr>
                      <w:rPr>
                        <w:rFonts w:ascii="Cambria Math" w:hAnsi="Cambria Math"/>
                        <w:i/>
                        <w:sz w:val="18"/>
                        <w:szCs w:val="18"/>
                      </w:rPr>
                    </m:ctrlPr>
                  </m:sSupPr>
                  <m:e>
                    <m:r>
                      <w:rPr>
                        <w:rFonts w:ascii="Cambria Math" w:hAnsi="Cambria Math"/>
                        <w:sz w:val="18"/>
                        <w:szCs w:val="18"/>
                      </w:rPr>
                      <m:t>w</m:t>
                    </m:r>
                  </m:e>
                  <m:sup>
                    <m:r>
                      <w:rPr>
                        <w:rFonts w:ascii="Cambria Math" w:hAnsi="Cambria Math"/>
                        <w:sz w:val="18"/>
                        <w:szCs w:val="18"/>
                        <w:vertAlign w:val="superscript"/>
                      </w:rPr>
                      <m:t>T</m:t>
                    </m:r>
                  </m:sup>
                </m:sSup>
                <m:r>
                  <w:rPr>
                    <w:rFonts w:ascii="Cambria Math" w:hAnsi="Cambria Math"/>
                    <w:sz w:val="18"/>
                    <w:szCs w:val="18"/>
                  </w:rPr>
                  <m:t>φ</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i</m:t>
                        </m:r>
                      </m:sub>
                    </m:sSub>
                  </m:e>
                </m:d>
                <m:r>
                  <w:rPr>
                    <w:rFonts w:ascii="Cambria Math" w:hAnsi="Cambria Math"/>
                    <w:sz w:val="18"/>
                    <w:szCs w:val="18"/>
                  </w:rPr>
                  <m:t xml:space="preserve">+ b - </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vertAlign w:val="subscript"/>
                      </w:rPr>
                      <m:t>i</m:t>
                    </m:r>
                  </m:sub>
                </m:sSub>
                <m:r>
                  <w:rPr>
                    <w:rFonts w:ascii="Cambria Math" w:hAnsi="Cambria Math"/>
                    <w:sz w:val="18"/>
                    <w:szCs w:val="18"/>
                  </w:rPr>
                  <m:t xml:space="preserve">  ≤  ε + </m:t>
                </m:r>
                <m:sSubSup>
                  <m:sSubSupPr>
                    <m:ctrlPr>
                      <w:rPr>
                        <w:rFonts w:ascii="Cambria Math" w:hAnsi="Cambria Math"/>
                        <w:i/>
                        <w:sz w:val="18"/>
                        <w:szCs w:val="18"/>
                        <w:vertAlign w:val="superscript"/>
                      </w:rPr>
                    </m:ctrlPr>
                  </m:sSubSupPr>
                  <m:e>
                    <m:r>
                      <w:rPr>
                        <w:rFonts w:ascii="Cambria Math" w:hAnsi="Cambria Math"/>
                        <w:sz w:val="18"/>
                        <w:szCs w:val="18"/>
                      </w:rPr>
                      <m:t>ξ</m:t>
                    </m:r>
                    <m:ctrlPr>
                      <w:rPr>
                        <w:rFonts w:ascii="Cambria Math" w:hAnsi="Cambria Math"/>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perscript"/>
                      </w:rPr>
                      <m:t>*</m:t>
                    </m:r>
                  </m:sup>
                </m:sSubSup>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ξ</m:t>
                    </m:r>
                  </m:e>
                  <m:sub>
                    <m:r>
                      <w:rPr>
                        <w:rFonts w:ascii="Cambria Math" w:hAnsi="Cambria Math"/>
                        <w:sz w:val="18"/>
                        <w:szCs w:val="18"/>
                        <w:vertAlign w:val="subscript"/>
                      </w:rPr>
                      <m:t>i</m:t>
                    </m:r>
                  </m:sub>
                </m:sSub>
                <m:r>
                  <w:rPr>
                    <w:rFonts w:ascii="Cambria Math" w:hAnsi="Cambria Math"/>
                    <w:sz w:val="18"/>
                    <w:szCs w:val="18"/>
                  </w:rPr>
                  <m:t xml:space="preserve">,  </m:t>
                </m:r>
                <m:sSubSup>
                  <m:sSubSupPr>
                    <m:ctrlPr>
                      <w:rPr>
                        <w:rFonts w:ascii="Cambria Math" w:hAnsi="Cambria Math"/>
                        <w:i/>
                        <w:sz w:val="18"/>
                        <w:szCs w:val="18"/>
                        <w:vertAlign w:val="superscript"/>
                      </w:rPr>
                    </m:ctrlPr>
                  </m:sSubSupPr>
                  <m:e>
                    <m:r>
                      <w:rPr>
                        <w:rFonts w:ascii="Cambria Math" w:hAnsi="Cambria Math"/>
                        <w:sz w:val="18"/>
                        <w:szCs w:val="18"/>
                      </w:rPr>
                      <m:t>ξ</m:t>
                    </m:r>
                    <m:ctrlPr>
                      <w:rPr>
                        <w:rFonts w:ascii="Cambria Math" w:hAnsi="Cambria Math"/>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perscript"/>
                      </w:rPr>
                      <m:t>*</m:t>
                    </m:r>
                  </m:sup>
                </m:sSubSup>
                <m:r>
                  <w:rPr>
                    <w:rFonts w:ascii="Cambria Math" w:hAnsi="Cambria Math"/>
                    <w:sz w:val="18"/>
                    <w:szCs w:val="18"/>
                  </w:rPr>
                  <m:t xml:space="preserve">  ≥  0</m:t>
                </m:r>
              </m:oMath>
            </m:oMathPara>
          </w:p>
        </w:tc>
        <w:tc>
          <w:tcPr>
            <w:tcW w:w="424" w:type="dxa"/>
          </w:tcPr>
          <w:p w14:paraId="09F19CC4" w14:textId="0BC917C4" w:rsidR="00727A10" w:rsidRDefault="00727A10" w:rsidP="00D542B1">
            <w:pPr>
              <w:rPr>
                <w:rFonts w:ascii="Century Gothic" w:hAnsi="Century Gothic"/>
                <w:color w:val="000000"/>
                <w:sz w:val="18"/>
                <w:szCs w:val="18"/>
              </w:rPr>
            </w:pPr>
            <w:r>
              <w:rPr>
                <w:rFonts w:ascii="Century Gothic" w:hAnsi="Century Gothic"/>
                <w:color w:val="000000"/>
                <w:sz w:val="18"/>
                <w:szCs w:val="18"/>
              </w:rPr>
              <w:t>(6)</w:t>
            </w:r>
          </w:p>
        </w:tc>
      </w:tr>
    </w:tbl>
    <w:p w14:paraId="471DC888" w14:textId="01C2E482" w:rsidR="007346AA" w:rsidRPr="00BC5552" w:rsidRDefault="000D5946" w:rsidP="006E2E32">
      <w:pPr>
        <w:ind w:firstLine="284"/>
        <w:rPr>
          <w:rFonts w:ascii="Century Gothic" w:hAnsi="Century Gothic"/>
          <w:sz w:val="18"/>
          <w:szCs w:val="18"/>
        </w:rPr>
      </w:pPr>
      <w:r w:rsidRPr="000D5946">
        <w:rPr>
          <w:rFonts w:ascii="Century Gothic" w:hAnsi="Century Gothic"/>
          <w:sz w:val="18"/>
          <w:szCs w:val="18"/>
        </w:rPr>
        <w:t>The regularization parameter</w:t>
      </w:r>
      <w:r>
        <w:rPr>
          <w:rFonts w:ascii="Century Gothic" w:hAnsi="Century Gothic"/>
          <w:sz w:val="18"/>
          <w:szCs w:val="18"/>
        </w:rPr>
        <w:t xml:space="preserve"> </w:t>
      </w:r>
      <m:oMath>
        <m:r>
          <w:rPr>
            <w:rFonts w:ascii="Cambria Math" w:hAnsi="Cambria Math"/>
            <w:sz w:val="18"/>
            <w:szCs w:val="18"/>
          </w:rPr>
          <m:t>C &gt; 0</m:t>
        </m:r>
      </m:oMath>
      <w:r w:rsidRPr="00BC5552">
        <w:rPr>
          <w:rFonts w:ascii="Century Gothic" w:hAnsi="Century Gothic"/>
          <w:sz w:val="18"/>
          <w:szCs w:val="18"/>
        </w:rPr>
        <w:t xml:space="preserve"> </w:t>
      </w:r>
      <w:r w:rsidRPr="000D5946">
        <w:rPr>
          <w:rFonts w:ascii="Century Gothic" w:hAnsi="Century Gothic"/>
          <w:sz w:val="18"/>
          <w:szCs w:val="18"/>
        </w:rPr>
        <w:t xml:space="preserve"> dictates the balance between margin width and training error. Meanwhile, the </w:t>
      </w:r>
      <w:r w:rsidRPr="00BC5552">
        <w:rPr>
          <w:rFonts w:ascii="Century Gothic" w:hAnsi="Century Gothic"/>
          <w:i/>
          <w:iCs/>
          <w:sz w:val="18"/>
          <w:szCs w:val="18"/>
        </w:rPr>
        <w:t>ε</w:t>
      </w:r>
      <w:r w:rsidRPr="000D5946">
        <w:rPr>
          <w:rFonts w:ascii="Century Gothic" w:hAnsi="Century Gothic"/>
          <w:sz w:val="18"/>
          <w:szCs w:val="18"/>
        </w:rPr>
        <w:t xml:space="preserve"> parameter creates a designated boundary that completely ignores loss. Building the loss framework around these two constraints forces the model to naturally resist noise and heteroscedastic variance</w:t>
      </w:r>
      <w:r w:rsidR="002033F1">
        <w:rPr>
          <w:rFonts w:ascii="Century Gothic" w:hAnsi="Century Gothic"/>
          <w:sz w:val="18"/>
          <w:szCs w:val="18"/>
        </w:rPr>
        <w:t xml:space="preserve"> </w:t>
      </w:r>
      <w:r w:rsidR="001F75DD">
        <w:rPr>
          <w:rFonts w:ascii="Century Gothic" w:hAnsi="Century Gothic"/>
          <w:sz w:val="18"/>
          <w:szCs w:val="18"/>
        </w:rPr>
        <w:fldChar w:fldCharType="begin" w:fldLock="1"/>
      </w:r>
      <w:r w:rsidR="001F75DD">
        <w:rPr>
          <w:rFonts w:ascii="Century Gothic" w:hAnsi="Century Gothic"/>
          <w:sz w:val="18"/>
          <w:szCs w:val="18"/>
        </w:rPr>
        <w:instrText>ADDIN CSL_CITATION {"citationItems":[{"id":"ITEM-1","itemData":{"DOI":"https://doi.org/10.1023/B:STCO.0000035301.49549.88","author":[{"dropping-particle":"","family":"Smola","given":"Alex","non-dropping-particle":"","parse-names":false,"suffix":""},{"dropping-particle":"","family":"SCHOLKOPF","given":"BERNHARD","non-dropping-particle":"","parse-names":false,"suffix":""}],"container-title":"Statistics and Computing","id":"ITEM-1","issue":"3","issued":{"date-parts":[["2004"]]},"page":"199-222","title":"A tutorial on support vector regression","type":"article-journal","volume":"14"},"uris":["http://www.mendeley.com/documents/?uuid=c379f441-d6ef-4147-804b-9562b6760a11"]}],"mendeley":{"formattedCitation":"[13]","plainTextFormattedCitation":"[13]","previouslyFormattedCitation":"[13]"},"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[13]</w:t>
      </w:r>
      <w:r w:rsidR="001F75DD">
        <w:rPr>
          <w:rFonts w:ascii="Century Gothic" w:hAnsi="Century Gothic"/>
          <w:sz w:val="18"/>
          <w:szCs w:val="18"/>
        </w:rPr>
        <w:fldChar w:fldCharType="end"/>
      </w:r>
      <w:r w:rsidRPr="000D5946">
        <w:rPr>
          <w:rFonts w:ascii="Century Gothic" w:hAnsi="Century Gothic"/>
          <w:sz w:val="18"/>
          <w:szCs w:val="18"/>
        </w:rPr>
        <w:t xml:space="preserve">. Figure </w:t>
      </w:r>
      <w:r w:rsidR="00587170">
        <w:rPr>
          <w:rFonts w:ascii="Century Gothic" w:hAnsi="Century Gothic"/>
          <w:sz w:val="18"/>
          <w:szCs w:val="18"/>
        </w:rPr>
        <w:t>2</w:t>
      </w:r>
      <w:r w:rsidRPr="000D5946">
        <w:rPr>
          <w:rFonts w:ascii="Century Gothic" w:hAnsi="Century Gothic"/>
          <w:sz w:val="18"/>
          <w:szCs w:val="18"/>
        </w:rPr>
        <w:t xml:space="preserve"> visually maps out this exact geometry.</w:t>
      </w:r>
    </w:p>
    <w:p w14:paraId="5CA2E378" w14:textId="0E4387A6" w:rsidR="007346AA" w:rsidRPr="00BC5552" w:rsidRDefault="00DC6B0A" w:rsidP="006E2E32">
      <w:pPr>
        <w:spacing w:before="120" w:after="60"/>
        <w:jc w:val="center"/>
        <w:rPr>
          <w:rFonts w:ascii="Century Gothic" w:hAnsi="Century Gothic"/>
          <w:sz w:val="18"/>
          <w:szCs w:val="18"/>
        </w:rPr>
      </w:pPr>
      <w:r w:rsidRPr="007346AA">
        <w:rPr>
          <w:rFonts w:ascii="Century Gothic" w:hAnsi="Century Gothic"/>
          <w:noProof/>
          <w:sz w:val="18"/>
          <w:szCs w:val="18"/>
        </w:rPr>
        <w:drawing>
          <wp:inline distT="0" distB="0" distL="0" distR="0" wp14:anchorId="05EFEC38" wp14:editId="135576D7">
            <wp:extent cx="2133600" cy="1089688"/>
            <wp:effectExtent l="0" t="0" r="0" b="0"/>
            <wp:docPr id="57" name="epsilon-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8750"/>
                    <a:stretch>
                      <a:fillRect/>
                    </a:stretch>
                  </pic:blipFill>
                  <pic:spPr bwMode="auto">
                    <a:xfrm>
                      <a:off x="0" y="0"/>
                      <a:ext cx="2136535" cy="1091187"/>
                    </a:xfrm>
                    <a:prstGeom prst="rect">
                      <a:avLst/>
                    </a:prstGeom>
                    <a:ln>
                      <a:noFill/>
                    </a:ln>
                    <a:extLst>
                      <a:ext uri="{53640926-AAD7-44D8-BBD7-CCE9431645EC}">
                        <a14:shadowObscured xmlns:a14="http://schemas.microsoft.com/office/drawing/2010/main"/>
                      </a:ext>
                    </a:extLst>
                  </pic:spPr>
                </pic:pic>
              </a:graphicData>
            </a:graphic>
          </wp:inline>
        </w:drawing>
      </w:r>
    </w:p>
    <w:p w14:paraId="6FFD592B" w14:textId="07679924" w:rsidR="007346AA" w:rsidRPr="00BC5552" w:rsidRDefault="007346AA" w:rsidP="006E2E32">
      <w:pPr>
        <w:spacing w:after="240"/>
        <w:jc w:val="center"/>
        <w:rPr>
          <w:rFonts w:ascii="Century Gothic" w:hAnsi="Century Gothic"/>
          <w:sz w:val="18"/>
          <w:szCs w:val="18"/>
        </w:rPr>
      </w:pPr>
      <w:r w:rsidRPr="00BC5552">
        <w:rPr>
          <w:rFonts w:ascii="Century Gothic" w:hAnsi="Century Gothic"/>
          <w:b/>
          <w:bCs/>
          <w:sz w:val="18"/>
          <w:szCs w:val="18"/>
        </w:rPr>
        <w:t xml:space="preserve">Figure </w:t>
      </w:r>
      <w:r w:rsidR="00BB3BD8">
        <w:rPr>
          <w:rFonts w:ascii="Century Gothic" w:hAnsi="Century Gothic"/>
          <w:b/>
          <w:bCs/>
          <w:sz w:val="18"/>
          <w:szCs w:val="18"/>
        </w:rPr>
        <w:t>2</w:t>
      </w:r>
      <w:r w:rsidRPr="00BC5552">
        <w:rPr>
          <w:rFonts w:ascii="Century Gothic" w:hAnsi="Century Gothic"/>
          <w:b/>
          <w:bCs/>
          <w:sz w:val="18"/>
          <w:szCs w:val="18"/>
        </w:rPr>
        <w:t xml:space="preserve">. </w:t>
      </w:r>
      <w:r w:rsidR="009C20F1" w:rsidRPr="009C20F1">
        <w:rPr>
          <w:rFonts w:ascii="Century Gothic" w:hAnsi="Century Gothic"/>
          <w:sz w:val="18"/>
          <w:szCs w:val="18"/>
        </w:rPr>
        <w:t xml:space="preserve">Geometric interpretation of the </w:t>
      </w:r>
      <w:r w:rsidR="009C20F1" w:rsidRPr="00BC5552">
        <w:rPr>
          <w:rFonts w:ascii="Century Gothic" w:hAnsi="Century Gothic"/>
          <w:i/>
          <w:iCs/>
          <w:sz w:val="18"/>
          <w:szCs w:val="18"/>
        </w:rPr>
        <w:t>ε</w:t>
      </w:r>
      <w:r w:rsidR="009C20F1" w:rsidRPr="009C20F1">
        <w:rPr>
          <w:rFonts w:ascii="Century Gothic" w:hAnsi="Century Gothic"/>
          <w:sz w:val="18"/>
          <w:szCs w:val="18"/>
        </w:rPr>
        <w:t>-insensitive loss function and margin in SVR.</w:t>
      </w:r>
    </w:p>
    <w:p w14:paraId="6552BA02" w14:textId="77777777" w:rsidR="007346AA" w:rsidRDefault="007346AA" w:rsidP="006E2E32">
      <w:pPr>
        <w:rPr>
          <w:rFonts w:ascii="Century Gothic" w:hAnsi="Century Gothic"/>
          <w:b/>
          <w:bCs/>
          <w:color w:val="943634"/>
          <w:sz w:val="18"/>
          <w:szCs w:val="18"/>
        </w:rPr>
      </w:pPr>
      <w:proofErr w:type="gramStart"/>
      <w:r w:rsidRPr="00E00D7C">
        <w:rPr>
          <w:rFonts w:ascii="Century Gothic" w:hAnsi="Century Gothic"/>
          <w:b/>
          <w:bCs/>
          <w:color w:val="943634"/>
          <w:sz w:val="18"/>
          <w:szCs w:val="18"/>
        </w:rPr>
        <w:t>2.3.2  Dual</w:t>
      </w:r>
      <w:proofErr w:type="gramEnd"/>
      <w:r w:rsidRPr="00E00D7C">
        <w:rPr>
          <w:rFonts w:ascii="Century Gothic" w:hAnsi="Century Gothic"/>
          <w:b/>
          <w:bCs/>
          <w:color w:val="943634"/>
          <w:sz w:val="18"/>
          <w:szCs w:val="18"/>
        </w:rPr>
        <w:t xml:space="preserve"> Formulation and Kernel Functions</w:t>
      </w:r>
    </w:p>
    <w:p w14:paraId="486B68E4" w14:textId="77777777" w:rsidR="00E00D7C" w:rsidRPr="00E00D7C" w:rsidRDefault="00E00D7C" w:rsidP="006E2E32">
      <w:pPr>
        <w:rPr>
          <w:rFonts w:ascii="Century Gothic" w:hAnsi="Century Gothic"/>
          <w:color w:val="943634"/>
          <w:sz w:val="18"/>
          <w:szCs w:val="18"/>
        </w:rPr>
      </w:pPr>
    </w:p>
    <w:p w14:paraId="48F77BCA" w14:textId="41A85BF4" w:rsidR="00D22221" w:rsidRDefault="00D22221" w:rsidP="00F3357C">
      <w:pPr>
        <w:rPr>
          <w:rFonts w:ascii="Century Gothic" w:hAnsi="Century Gothic"/>
          <w:sz w:val="18"/>
          <w:szCs w:val="18"/>
        </w:rPr>
      </w:pPr>
      <w:r w:rsidRPr="00D22221">
        <w:rPr>
          <w:rFonts w:ascii="Century Gothic" w:hAnsi="Century Gothic"/>
          <w:sz w:val="18"/>
          <w:szCs w:val="18"/>
        </w:rPr>
        <w:t xml:space="preserve">We solve Equation (2) using the Karush-Kuhn-Tucker conditions and Lagrange duality. This mathematical step expresses the weight vector </w:t>
      </w:r>
      <m:oMath>
        <m:r>
          <w:rPr>
            <w:rFonts w:ascii="Cambria Math" w:hAnsi="Cambria Math"/>
            <w:sz w:val="18"/>
            <w:szCs w:val="18"/>
          </w:rPr>
          <m:t>w = ∑</m:t>
        </m:r>
        <m:d>
          <m:dPr>
            <m:ctrlPr>
              <w:rPr>
                <w:rFonts w:ascii="Cambria Math" w:hAnsi="Cambria Math"/>
                <w:i/>
                <w:sz w:val="18"/>
                <w:szCs w:val="18"/>
              </w:rPr>
            </m:ctrlPr>
          </m:dPr>
          <m:e>
            <m:sSub>
              <m:sSubPr>
                <m:ctrlPr>
                  <w:rPr>
                    <w:rFonts w:ascii="Cambria Math" w:hAnsi="Cambria Math"/>
                    <w:i/>
                    <w:sz w:val="18"/>
                    <w:szCs w:val="18"/>
                    <w:vertAlign w:val="subscript"/>
                  </w:rPr>
                </m:ctrlPr>
              </m:sSubPr>
              <m:e>
                <m:r>
                  <w:rPr>
                    <w:rFonts w:ascii="Cambria Math" w:hAnsi="Cambria Math"/>
                    <w:sz w:val="18"/>
                    <w:szCs w:val="18"/>
                  </w:rPr>
                  <m:t>α</m:t>
                </m:r>
                <m:ctrlPr>
                  <w:rPr>
                    <w:rFonts w:ascii="Cambria Math" w:hAnsi="Cambria Math"/>
                    <w:i/>
                    <w:sz w:val="18"/>
                    <w:szCs w:val="18"/>
                  </w:rPr>
                </m:ctrlPr>
              </m:e>
              <m:sub>
                <m:r>
                  <w:rPr>
                    <w:rFonts w:ascii="Cambria Math" w:hAnsi="Cambria Math"/>
                    <w:sz w:val="18"/>
                    <w:szCs w:val="18"/>
                    <w:vertAlign w:val="subscript"/>
                  </w:rPr>
                  <m:t>i</m:t>
                </m:r>
              </m:sub>
            </m:sSub>
            <m:r>
              <w:rPr>
                <w:rFonts w:ascii="Cambria Math" w:hAnsi="Cambria Math"/>
                <w:sz w:val="18"/>
                <w:szCs w:val="18"/>
              </w:rPr>
              <m:t xml:space="preserve"> - </m:t>
            </m:r>
            <m:sSubSup>
              <m:sSubSupPr>
                <m:ctrlPr>
                  <w:rPr>
                    <w:rFonts w:ascii="Cambria Math" w:hAnsi="Cambria Math"/>
                    <w:i/>
                    <w:sz w:val="18"/>
                    <w:szCs w:val="18"/>
                    <w:vertAlign w:val="superscript"/>
                  </w:rPr>
                </m:ctrlPr>
              </m:sSubSupPr>
              <m:e>
                <m:r>
                  <w:rPr>
                    <w:rFonts w:ascii="Cambria Math" w:hAnsi="Cambria Math"/>
                    <w:sz w:val="18"/>
                    <w:szCs w:val="18"/>
                  </w:rPr>
                  <m:t>α</m:t>
                </m:r>
                <m:ctrlPr>
                  <w:rPr>
                    <w:rFonts w:ascii="Cambria Math" w:hAnsi="Cambria Math"/>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perscript"/>
                  </w:rPr>
                  <m:t>*</m:t>
                </m:r>
              </m:sup>
            </m:sSubSup>
          </m:e>
        </m:d>
        <m:r>
          <w:rPr>
            <w:rFonts w:ascii="Cambria Math" w:hAnsi="Cambria Math"/>
            <w:sz w:val="18"/>
            <w:szCs w:val="18"/>
          </w:rPr>
          <m:t>φ(</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i</m:t>
            </m:r>
          </m:sub>
        </m:sSub>
      </m:oMath>
      <w:proofErr w:type="gramStart"/>
      <w:r w:rsidRPr="00BC5552">
        <w:rPr>
          <w:rFonts w:ascii="Century Gothic" w:hAnsi="Century Gothic"/>
          <w:sz w:val="18"/>
          <w:szCs w:val="18"/>
        </w:rPr>
        <w:t>).</w:t>
      </w:r>
      <w:r w:rsidRPr="00D22221">
        <w:rPr>
          <w:rFonts w:ascii="Century Gothic" w:hAnsi="Century Gothic"/>
          <w:sz w:val="18"/>
          <w:szCs w:val="18"/>
        </w:rPr>
        <w:t>Direct</w:t>
      </w:r>
      <w:proofErr w:type="gramEnd"/>
      <w:r w:rsidRPr="00D22221">
        <w:rPr>
          <w:rFonts w:ascii="Century Gothic" w:hAnsi="Century Gothic"/>
          <w:sz w:val="18"/>
          <w:szCs w:val="18"/>
        </w:rPr>
        <w:t xml:space="preserve"> computation of </w:t>
      </w:r>
      <m:oMath>
        <m:r>
          <w:rPr>
            <w:rFonts w:ascii="Cambria Math" w:hAnsi="Cambria Math"/>
            <w:sz w:val="18"/>
            <w:szCs w:val="18"/>
          </w:rPr>
          <m:t>φ</m:t>
        </m:r>
      </m:oMath>
      <w:r w:rsidRPr="00D22221">
        <w:rPr>
          <w:rFonts w:ascii="Century Gothic" w:hAnsi="Century Gothic"/>
          <w:sz w:val="18"/>
          <w:szCs w:val="18"/>
        </w:rPr>
        <w:t xml:space="preserve"> is rarely feasible in high-dimensional spaces. We bypass this limitation by replacing the inner product </w:t>
      </w:r>
      <m:oMath>
        <m:r>
          <w:rPr>
            <w:rFonts w:ascii="Cambria Math" w:hAnsi="Cambria Math"/>
            <w:sz w:val="18"/>
            <w:szCs w:val="18"/>
          </w:rPr>
          <m:t>φ</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i</m:t>
                </m:r>
              </m:sub>
            </m:sSub>
          </m:e>
        </m:d>
        <m:r>
          <w:rPr>
            <w:rFonts w:ascii="Cambria Math" w:hAnsi="Cambria Math"/>
            <w:sz w:val="18"/>
            <w:szCs w:val="18"/>
            <w:vertAlign w:val="superscript"/>
          </w:rPr>
          <m:t>T</m:t>
        </m:r>
        <m:r>
          <w:rPr>
            <w:rFonts w:ascii="Cambria Math" w:hAnsi="Cambria Math"/>
            <w:sz w:val="18"/>
            <w:szCs w:val="18"/>
          </w:rPr>
          <m:t>φ</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j</m:t>
                </m:r>
              </m:sub>
            </m:sSub>
          </m:e>
        </m:d>
      </m:oMath>
      <w:r w:rsidR="000A368C" w:rsidRPr="00BC5552">
        <w:rPr>
          <w:rFonts w:ascii="Century Gothic" w:hAnsi="Century Gothic"/>
          <w:sz w:val="18"/>
          <w:szCs w:val="18"/>
        </w:rPr>
        <w:t xml:space="preserve"> </w:t>
      </w:r>
      <w:r w:rsidRPr="00D22221">
        <w:rPr>
          <w:rFonts w:ascii="Century Gothic" w:hAnsi="Century Gothic"/>
          <w:sz w:val="18"/>
          <w:szCs w:val="18"/>
        </w:rPr>
        <w:t xml:space="preserve"> with a dedicated kernel function</w:t>
      </w:r>
      <w:r w:rsidR="000A368C" w:rsidRPr="000A368C">
        <w:rPr>
          <w:rFonts w:ascii="Century Gothic" w:hAnsi="Century Gothic"/>
          <w:sz w:val="18"/>
          <w:szCs w:val="18"/>
        </w:rPr>
        <w:t xml:space="preserve"> </w:t>
      </w:r>
      <w:proofErr w:type="spellStart"/>
      <w:r w:rsidR="000A368C" w:rsidRPr="00BC5552">
        <w:rPr>
          <w:rFonts w:ascii="Century Gothic" w:hAnsi="Century Gothic"/>
          <w:sz w:val="18"/>
          <w:szCs w:val="18"/>
        </w:rPr>
        <w:t>function</w:t>
      </w:r>
      <w:proofErr w:type="spellEnd"/>
      <w:r w:rsidR="000A368C" w:rsidRPr="00BC5552">
        <w:rPr>
          <w:rFonts w:ascii="Century Gothic" w:hAnsi="Century Gothic"/>
          <w:sz w:val="18"/>
          <w:szCs w:val="18"/>
        </w:rPr>
        <w:t xml:space="preserve"> </w:t>
      </w:r>
      <m:oMath>
        <m:r>
          <w:rPr>
            <w:rFonts w:ascii="Cambria Math" w:hAnsi="Cambria Math"/>
            <w:sz w:val="18"/>
            <w:szCs w:val="18"/>
          </w:rPr>
          <m:t>K</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i</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j</m:t>
                </m:r>
              </m:sub>
            </m:sSub>
          </m:e>
        </m:d>
      </m:oMath>
      <w:r w:rsidR="000A368C" w:rsidRPr="00BC5552">
        <w:rPr>
          <w:rFonts w:ascii="Century Gothic" w:hAnsi="Century Gothic"/>
          <w:sz w:val="18"/>
          <w:szCs w:val="18"/>
        </w:rPr>
        <w:t>,</w:t>
      </w:r>
      <w:r w:rsidRPr="00D22221">
        <w:rPr>
          <w:rFonts w:ascii="Century Gothic" w:hAnsi="Century Gothic"/>
          <w:sz w:val="18"/>
          <w:szCs w:val="18"/>
        </w:rPr>
        <w:t xml:space="preserve">. This substitution produces the following relationship </w:t>
      </w:r>
      <w:r w:rsidR="000A368C" w:rsidRPr="00BC5552">
        <w:rPr>
          <w:rFonts w:ascii="Century Gothic" w:hAnsi="Century Gothic"/>
          <w:sz w:val="18"/>
          <w:szCs w:val="18"/>
          <w:vertAlign w:val="superscript"/>
        </w:rPr>
        <w:t>[</w:t>
      </w:r>
      <w:r w:rsidR="000A368C">
        <w:rPr>
          <w:rFonts w:ascii="Century Gothic" w:hAnsi="Century Gothic"/>
          <w:sz w:val="18"/>
          <w:szCs w:val="18"/>
          <w:vertAlign w:val="superscript"/>
        </w:rPr>
        <w:t>13]</w:t>
      </w:r>
      <w:r w:rsidRPr="00D22221">
        <w:rPr>
          <w:rFonts w:ascii="Century Gothic" w:hAnsi="Century Gothic"/>
          <w:sz w:val="18"/>
          <w:szCs w:val="18"/>
        </w:rPr>
        <w:t>:</w:t>
      </w:r>
    </w:p>
    <w:tbl>
      <w:tblPr>
        <w:tblW w:w="0" w:type="auto"/>
        <w:tblLook w:val="04A0" w:firstRow="1" w:lastRow="0" w:firstColumn="1" w:lastColumn="0" w:noHBand="0" w:noVBand="1"/>
      </w:tblPr>
      <w:tblGrid>
        <w:gridCol w:w="4222"/>
        <w:gridCol w:w="449"/>
      </w:tblGrid>
      <w:tr w:rsidR="00727A10" w14:paraId="5046C14B" w14:textId="77777777" w:rsidTr="00D542B1">
        <w:tc>
          <w:tcPr>
            <w:tcW w:w="8926" w:type="dxa"/>
          </w:tcPr>
          <w:p w14:paraId="418E983B" w14:textId="744C04B3" w:rsidR="00727A10" w:rsidRPr="00DC6B0A" w:rsidRDefault="00727A10" w:rsidP="00D542B1">
            <w:pPr>
              <w:rPr>
                <w:rFonts w:ascii="Century Gothic" w:hAnsi="Century Gothic"/>
                <w:color w:val="000000"/>
                <w:sz w:val="18"/>
                <w:szCs w:val="18"/>
              </w:rPr>
            </w:pPr>
            <m:oMathPara>
              <m:oMath>
                <m:r>
                  <w:rPr>
                    <w:rFonts w:ascii="Cambria Math" w:hAnsi="Cambria Math"/>
                    <w:sz w:val="18"/>
                    <w:szCs w:val="18"/>
                  </w:rPr>
                  <m:t>f</m:t>
                </m:r>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 xml:space="preserve">= </m:t>
                </m:r>
                <m:nary>
                  <m:naryPr>
                    <m:chr m:val="∑"/>
                    <m:limLoc m:val="undOvr"/>
                    <m:ctrlPr>
                      <w:rPr>
                        <w:rFonts w:ascii="Cambria Math" w:hAnsi="Cambria Math"/>
                        <w:i/>
                        <w:sz w:val="18"/>
                        <w:szCs w:val="18"/>
                        <w:vertAlign w:val="subscript"/>
                      </w:rPr>
                    </m:ctrlPr>
                  </m:naryPr>
                  <m:sub>
                    <m:r>
                      <w:rPr>
                        <w:rFonts w:ascii="Cambria Math" w:hAnsi="Cambria Math"/>
                        <w:sz w:val="18"/>
                        <w:szCs w:val="18"/>
                        <w:vertAlign w:val="subscript"/>
                      </w:rPr>
                      <m:t>i=1</m:t>
                    </m:r>
                  </m:sub>
                  <m:sup>
                    <m:r>
                      <w:rPr>
                        <w:rFonts w:ascii="Cambria Math" w:hAnsi="Cambria Math"/>
                        <w:sz w:val="18"/>
                        <w:szCs w:val="18"/>
                        <w:vertAlign w:val="subscript"/>
                      </w:rPr>
                      <m:t>n</m:t>
                    </m:r>
                  </m:sup>
                  <m:e>
                    <m:d>
                      <m:dPr>
                        <m:ctrlPr>
                          <w:rPr>
                            <w:rFonts w:ascii="Cambria Math" w:hAnsi="Cambria Math"/>
                            <w:i/>
                            <w:sz w:val="18"/>
                            <w:szCs w:val="18"/>
                          </w:rPr>
                        </m:ctrlPr>
                      </m:dPr>
                      <m:e>
                        <m:sSub>
                          <m:sSubPr>
                            <m:ctrlPr>
                              <w:rPr>
                                <w:rFonts w:ascii="Cambria Math" w:hAnsi="Cambria Math"/>
                                <w:i/>
                                <w:sz w:val="18"/>
                                <w:szCs w:val="18"/>
                                <w:vertAlign w:val="subscript"/>
                              </w:rPr>
                            </m:ctrlPr>
                          </m:sSubPr>
                          <m:e>
                            <m:r>
                              <w:rPr>
                                <w:rFonts w:ascii="Cambria Math" w:hAnsi="Cambria Math"/>
                                <w:sz w:val="18"/>
                                <w:szCs w:val="18"/>
                              </w:rPr>
                              <m:t>α</m:t>
                            </m:r>
                            <m:ctrlPr>
                              <w:rPr>
                                <w:rFonts w:ascii="Cambria Math" w:hAnsi="Cambria Math"/>
                                <w:i/>
                                <w:sz w:val="18"/>
                                <w:szCs w:val="18"/>
                              </w:rPr>
                            </m:ctrlPr>
                          </m:e>
                          <m:sub>
                            <m:r>
                              <w:rPr>
                                <w:rFonts w:ascii="Cambria Math" w:hAnsi="Cambria Math"/>
                                <w:sz w:val="18"/>
                                <w:szCs w:val="18"/>
                                <w:vertAlign w:val="subscript"/>
                              </w:rPr>
                              <m:t>i</m:t>
                            </m:r>
                          </m:sub>
                        </m:sSub>
                        <m:r>
                          <w:rPr>
                            <w:rFonts w:ascii="Cambria Math" w:hAnsi="Cambria Math"/>
                            <w:sz w:val="18"/>
                            <w:szCs w:val="18"/>
                          </w:rPr>
                          <m:t xml:space="preserve"> - </m:t>
                        </m:r>
                        <m:sSubSup>
                          <m:sSubSupPr>
                            <m:ctrlPr>
                              <w:rPr>
                                <w:rFonts w:ascii="Cambria Math" w:hAnsi="Cambria Math"/>
                                <w:i/>
                                <w:sz w:val="18"/>
                                <w:szCs w:val="18"/>
                                <w:vertAlign w:val="superscript"/>
                              </w:rPr>
                            </m:ctrlPr>
                          </m:sSubSupPr>
                          <m:e>
                            <m:r>
                              <w:rPr>
                                <w:rFonts w:ascii="Cambria Math" w:hAnsi="Cambria Math"/>
                                <w:sz w:val="18"/>
                                <w:szCs w:val="18"/>
                              </w:rPr>
                              <m:t>α</m:t>
                            </m:r>
                            <m:ctrlPr>
                              <w:rPr>
                                <w:rFonts w:ascii="Cambria Math" w:hAnsi="Cambria Math"/>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perscript"/>
                              </w:rPr>
                              <m:t>*</m:t>
                            </m:r>
                          </m:sup>
                        </m:sSubSup>
                      </m:e>
                    </m:d>
                    <m:r>
                      <w:rPr>
                        <w:rFonts w:ascii="Cambria Math" w:hAnsi="Cambria Math"/>
                        <w:sz w:val="18"/>
                        <w:szCs w:val="18"/>
                      </w:rPr>
                      <m:t>K</m:t>
                    </m:r>
                    <m:d>
                      <m:dPr>
                        <m:ctrlPr>
                          <w:rPr>
                            <w:rFonts w:ascii="Cambria Math" w:hAnsi="Cambria Math"/>
                            <w:i/>
                            <w:sz w:val="18"/>
                            <w:szCs w:val="18"/>
                          </w:rPr>
                        </m:ctrlPr>
                      </m:dPr>
                      <m:e>
                        <m:sSub>
                          <m:sSubPr>
                            <m:ctrlPr>
                              <w:rPr>
                                <w:rFonts w:ascii="Cambria Math" w:hAnsi="Cambria Math"/>
                                <w:i/>
                                <w:sz w:val="18"/>
                                <w:szCs w:val="18"/>
                                <w:vertAlign w:val="subscript"/>
                              </w:rPr>
                            </m:ctrlPr>
                          </m:sSubPr>
                          <m:e>
                            <m:r>
                              <w:rPr>
                                <w:rFonts w:ascii="Cambria Math" w:hAnsi="Cambria Math"/>
                                <w:sz w:val="18"/>
                                <w:szCs w:val="18"/>
                              </w:rPr>
                              <m:t>x</m:t>
                            </m:r>
                            <m:ctrlPr>
                              <w:rPr>
                                <w:rFonts w:ascii="Cambria Math" w:hAnsi="Cambria Math"/>
                                <w:i/>
                                <w:sz w:val="18"/>
                                <w:szCs w:val="18"/>
                              </w:rPr>
                            </m:ctrlPr>
                          </m:e>
                          <m:sub>
                            <m:r>
                              <w:rPr>
                                <w:rFonts w:ascii="Cambria Math" w:hAnsi="Cambria Math"/>
                                <w:sz w:val="18"/>
                                <w:szCs w:val="18"/>
                                <w:vertAlign w:val="subscript"/>
                              </w:rPr>
                              <m:t>i</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vertAlign w:val="subscript"/>
                              </w:rPr>
                              <m:t>j</m:t>
                            </m:r>
                          </m:sub>
                        </m:sSub>
                      </m:e>
                    </m:d>
                    <m:r>
                      <w:rPr>
                        <w:rFonts w:ascii="Cambria Math" w:hAnsi="Cambria Math"/>
                        <w:sz w:val="18"/>
                        <w:szCs w:val="18"/>
                      </w:rPr>
                      <m:t>+ b</m:t>
                    </m:r>
                  </m:e>
                </m:nary>
              </m:oMath>
            </m:oMathPara>
          </w:p>
        </w:tc>
        <w:tc>
          <w:tcPr>
            <w:tcW w:w="424" w:type="dxa"/>
          </w:tcPr>
          <w:p w14:paraId="1672E1A2" w14:textId="1407768C" w:rsidR="00727A10" w:rsidRDefault="00727A10" w:rsidP="00D542B1">
            <w:pPr>
              <w:rPr>
                <w:rFonts w:ascii="Century Gothic" w:hAnsi="Century Gothic"/>
                <w:color w:val="000000"/>
                <w:sz w:val="18"/>
                <w:szCs w:val="18"/>
              </w:rPr>
            </w:pPr>
            <w:r>
              <w:rPr>
                <w:rFonts w:ascii="Century Gothic" w:hAnsi="Century Gothic"/>
                <w:color w:val="000000"/>
                <w:sz w:val="18"/>
                <w:szCs w:val="18"/>
              </w:rPr>
              <w:t>(7)</w:t>
            </w:r>
          </w:p>
        </w:tc>
      </w:tr>
    </w:tbl>
    <w:p w14:paraId="0C0F630D" w14:textId="4D5B4FC5" w:rsidR="007346AA" w:rsidRPr="00BC5552" w:rsidRDefault="00846E15" w:rsidP="006E2E32">
      <w:pPr>
        <w:spacing w:after="180"/>
        <w:rPr>
          <w:rFonts w:ascii="Century Gothic" w:hAnsi="Century Gothic"/>
          <w:sz w:val="18"/>
          <w:szCs w:val="18"/>
        </w:rPr>
      </w:pPr>
      <w:r w:rsidRPr="00846E15">
        <w:rPr>
          <w:rFonts w:ascii="Century Gothic" w:hAnsi="Century Gothic"/>
          <w:sz w:val="18"/>
          <w:szCs w:val="18"/>
        </w:rPr>
        <w:t>The model filters out unnecessary data by ignoring any observation where</w:t>
      </w:r>
      <m:oMath>
        <m:r>
          <w:rPr>
            <w:rFonts w:ascii="Cambria Math" w:hAnsi="Cambria Math"/>
            <w:sz w:val="18"/>
            <w:szCs w:val="18"/>
          </w:rPr>
          <m:t xml:space="preserve"> </m:t>
        </m:r>
        <m:d>
          <m:dPr>
            <m:ctrlPr>
              <w:rPr>
                <w:rFonts w:ascii="Cambria Math" w:hAnsi="Cambria Math"/>
                <w:i/>
                <w:sz w:val="18"/>
                <w:szCs w:val="18"/>
              </w:rPr>
            </m:ctrlPr>
          </m:dPr>
          <m:e>
            <m:sSub>
              <m:sSubPr>
                <m:ctrlPr>
                  <w:rPr>
                    <w:rFonts w:ascii="Cambria Math" w:hAnsi="Cambria Math"/>
                    <w:i/>
                    <w:sz w:val="18"/>
                    <w:szCs w:val="18"/>
                    <w:vertAlign w:val="subscript"/>
                  </w:rPr>
                </m:ctrlPr>
              </m:sSubPr>
              <m:e>
                <m:r>
                  <w:rPr>
                    <w:rFonts w:ascii="Cambria Math" w:hAnsi="Cambria Math"/>
                    <w:sz w:val="18"/>
                    <w:szCs w:val="18"/>
                  </w:rPr>
                  <m:t>α</m:t>
                </m:r>
                <m:ctrlPr>
                  <w:rPr>
                    <w:rFonts w:ascii="Cambria Math" w:hAnsi="Cambria Math"/>
                    <w:i/>
                    <w:sz w:val="18"/>
                    <w:szCs w:val="18"/>
                  </w:rPr>
                </m:ctrlPr>
              </m:e>
              <m:sub>
                <m:r>
                  <w:rPr>
                    <w:rFonts w:ascii="Cambria Math" w:hAnsi="Cambria Math"/>
                    <w:sz w:val="18"/>
                    <w:szCs w:val="18"/>
                    <w:vertAlign w:val="subscript"/>
                  </w:rPr>
                  <m:t>i</m:t>
                </m:r>
              </m:sub>
            </m:sSub>
            <m:r>
              <w:rPr>
                <w:rFonts w:ascii="Cambria Math" w:hAnsi="Cambria Math"/>
                <w:sz w:val="18"/>
                <w:szCs w:val="18"/>
              </w:rPr>
              <m:t xml:space="preserve"> - </m:t>
            </m:r>
            <m:sSubSup>
              <m:sSubSupPr>
                <m:ctrlPr>
                  <w:rPr>
                    <w:rFonts w:ascii="Cambria Math" w:hAnsi="Cambria Math"/>
                    <w:i/>
                    <w:sz w:val="18"/>
                    <w:szCs w:val="18"/>
                    <w:vertAlign w:val="superscript"/>
                  </w:rPr>
                </m:ctrlPr>
              </m:sSubSupPr>
              <m:e>
                <m:r>
                  <w:rPr>
                    <w:rFonts w:ascii="Cambria Math" w:hAnsi="Cambria Math"/>
                    <w:sz w:val="18"/>
                    <w:szCs w:val="18"/>
                  </w:rPr>
                  <m:t>α</m:t>
                </m:r>
                <m:ctrlPr>
                  <w:rPr>
                    <w:rFonts w:ascii="Cambria Math" w:hAnsi="Cambria Math"/>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perscript"/>
                  </w:rPr>
                  <m:t>*</m:t>
                </m:r>
              </m:sup>
            </m:sSubSup>
          </m:e>
        </m:d>
        <m:r>
          <w:rPr>
            <w:rFonts w:ascii="Cambria Math" w:hAnsi="Cambria Math"/>
            <w:sz w:val="18"/>
            <w:szCs w:val="18"/>
          </w:rPr>
          <m:t xml:space="preserve"> ≠ 0</m:t>
        </m:r>
      </m:oMath>
      <w:r w:rsidRPr="00846E15">
        <w:rPr>
          <w:rFonts w:ascii="Century Gothic" w:hAnsi="Century Gothic"/>
          <w:sz w:val="18"/>
          <w:szCs w:val="18"/>
        </w:rPr>
        <w:t xml:space="preserve">. Only data points that yield non-zero values actively construct the final function. We define these active points as support vectors. Table 1 outlines the exact parameters and </w:t>
      </w:r>
      <w:r w:rsidRPr="00846E15">
        <w:rPr>
          <w:rFonts w:ascii="Century Gothic" w:hAnsi="Century Gothic"/>
          <w:sz w:val="18"/>
          <w:szCs w:val="18"/>
        </w:rPr>
        <w:t>mathematical definitions for the four kernel functions tested in our study</w:t>
      </w:r>
      <w:r w:rsidR="00A2708B">
        <w:rPr>
          <w:rFonts w:ascii="Century Gothic" w:hAnsi="Century Gothic"/>
          <w:sz w:val="18"/>
          <w:szCs w:val="18"/>
        </w:rPr>
        <w:t xml:space="preserve"> </w:t>
      </w:r>
      <w:r w:rsidR="001F75DD">
        <w:rPr>
          <w:rFonts w:ascii="Century Gothic" w:hAnsi="Century Gothic"/>
          <w:sz w:val="18"/>
          <w:szCs w:val="18"/>
        </w:rPr>
        <w:fldChar w:fldCharType="begin" w:fldLock="1"/>
      </w:r>
      <w:r w:rsidR="00BB4057">
        <w:rPr>
          <w:rFonts w:ascii="Century Gothic" w:hAnsi="Century Gothic"/>
          <w:sz w:val="18"/>
          <w:szCs w:val="18"/>
        </w:rPr>
        <w:instrText>ADDIN CSL_CITATION {"citationItems":[{"id":"ITEM-1","itemData":{"DOI":"10.1155/2016/4907654","ISSN":"15635147","abstract":"This paper investigates the value of designing a new kernel of support vector regression for the application of forecasting high-frequency stock returns. Under the assumption that each return is an event that triggers momentum and reversal periodically, we decompose each future return into a collection of decaying cosine waves that are functions of past returns. Under realistic assumptions, we reach an analytical expression of the nonlinear relationship between past and future returns and introduce a new kernel for forecasting future returns accordingly. Using high-frequency prices of Chinese CSI 300 index from January 4, 2010, to March 3, 2014, as empirical data, we have the following observations: (1) the new kernel significantly beats the radial basis function kernel and the sigmoid function kernel out-of-sample in both the prediction mean square error and the directional forecast accuracy rate. (2) Besides, the capital gain of a simple trading strategy based on the out-of-sample predictions with the new kernel is also significantly higher. Therefore, we conclude that it is statistically and economically valuable to design a new kernel of support vector regression for forecasting high-frequency stock returns.","author":[{"dropping-particle":"","family":"Qu","given":"Hui","non-dropping-particle":"","parse-names":false,"suffix":""},{"dropping-particle":"","family":"Zhang","given":"Yu","non-dropping-particle":"","parse-names":false,"suffix":""}],"container-title":"Mathematical Problems in Engineering","id":"ITEM-1","issued":{"date-parts":[["2016"]]},"title":"A new kernel of support vector regression for forecasting high-frequency stock returns","type":"article-journal","volume":"2016"},"uris":["http://www.mendeley.com/documents/?uuid=707dcdb5-86a5-49b2-a6db-baaf0facb868"]}],"mendeley":{"formattedCitation":"[24]","plainTextFormattedCitation":"[24]","previouslyFormattedCitation":"[24]"},"properties":{"noteIndex":0},"schema":"https://github.com/citation-style-language/schema/raw/master/csl-citation.json"}</w:instrText>
      </w:r>
      <w:r w:rsidR="001F75DD">
        <w:rPr>
          <w:rFonts w:ascii="Century Gothic" w:hAnsi="Century Gothic"/>
          <w:sz w:val="18"/>
          <w:szCs w:val="18"/>
        </w:rPr>
        <w:fldChar w:fldCharType="separate"/>
      </w:r>
      <w:r w:rsidR="001F75DD" w:rsidRPr="001F75DD">
        <w:rPr>
          <w:rFonts w:ascii="Century Gothic" w:hAnsi="Century Gothic"/>
          <w:noProof/>
          <w:sz w:val="18"/>
          <w:szCs w:val="18"/>
        </w:rPr>
        <w:t>[24]</w:t>
      </w:r>
      <w:r w:rsidR="001F75DD">
        <w:rPr>
          <w:rFonts w:ascii="Century Gothic" w:hAnsi="Century Gothic"/>
          <w:sz w:val="18"/>
          <w:szCs w:val="18"/>
        </w:rPr>
        <w:fldChar w:fldCharType="end"/>
      </w:r>
      <w:r w:rsidR="001F75DD">
        <w:rPr>
          <w:rFonts w:ascii="Century Gothic" w:hAnsi="Century Gothic"/>
          <w:sz w:val="18"/>
          <w:szCs w:val="18"/>
        </w:rPr>
        <w:t>.</w:t>
      </w:r>
    </w:p>
    <w:p w14:paraId="4557A9DC" w14:textId="159C221E" w:rsidR="007346AA" w:rsidRPr="00BC5552" w:rsidRDefault="00BB3BD8" w:rsidP="006E2E32">
      <w:pPr>
        <w:jc w:val="center"/>
        <w:rPr>
          <w:rFonts w:ascii="Century Gothic" w:hAnsi="Century Gothic"/>
          <w:sz w:val="18"/>
          <w:szCs w:val="18"/>
        </w:rPr>
      </w:pPr>
      <w:commentRangeStart w:id="0"/>
      <w:r w:rsidRPr="00BC5552">
        <w:rPr>
          <w:rFonts w:ascii="Century Gothic" w:hAnsi="Century Gothic"/>
          <w:b/>
          <w:bCs/>
          <w:sz w:val="18"/>
          <w:szCs w:val="18"/>
        </w:rPr>
        <w:t xml:space="preserve">Table 1. </w:t>
      </w:r>
      <w:commentRangeEnd w:id="0"/>
      <w:r w:rsidR="00965BB1" w:rsidRPr="00BC5552">
        <w:rPr>
          <w:rStyle w:val="CommentReference"/>
          <w:rFonts w:ascii="Century Gothic" w:hAnsi="Century Gothic"/>
          <w:b/>
          <w:bCs/>
          <w:sz w:val="18"/>
          <w:szCs w:val="18"/>
        </w:rPr>
        <w:commentReference w:id="0"/>
      </w:r>
      <w:r w:rsidRPr="00BC5552">
        <w:rPr>
          <w:rFonts w:ascii="Century Gothic" w:hAnsi="Century Gothic"/>
          <w:b/>
          <w:bCs/>
          <w:sz w:val="18"/>
          <w:szCs w:val="18"/>
        </w:rPr>
        <w:t xml:space="preserve"> </w:t>
      </w:r>
      <w:r w:rsidR="005C64E2" w:rsidRPr="005C64E2">
        <w:rPr>
          <w:rFonts w:ascii="Century Gothic" w:hAnsi="Century Gothic"/>
          <w:sz w:val="18"/>
          <w:szCs w:val="18"/>
        </w:rPr>
        <w:t>Mathematical definitions of the evaluated SVRX kernel functions</w:t>
      </w:r>
    </w:p>
    <w:tbl>
      <w:tblPr>
        <w:tblW w:w="4677" w:type="dxa"/>
        <w:jc w:val="center"/>
        <w:tblLayout w:type="fixed"/>
        <w:tblLook w:val="04A0" w:firstRow="1" w:lastRow="0" w:firstColumn="1" w:lastColumn="0" w:noHBand="0" w:noVBand="1"/>
      </w:tblPr>
      <w:tblGrid>
        <w:gridCol w:w="1165"/>
        <w:gridCol w:w="1812"/>
        <w:gridCol w:w="1700"/>
      </w:tblGrid>
      <w:tr w:rsidR="00A2708B" w:rsidRPr="00BC5552" w14:paraId="7E161C68" w14:textId="77777777" w:rsidTr="00A2708B">
        <w:trPr>
          <w:jc w:val="center"/>
        </w:trPr>
        <w:tc>
          <w:tcPr>
            <w:tcW w:w="1165" w:type="dxa"/>
            <w:tcBorders>
              <w:top w:val="single" w:sz="4" w:space="0" w:color="auto"/>
              <w:bottom w:val="single" w:sz="4" w:space="0" w:color="auto"/>
            </w:tcBorders>
          </w:tcPr>
          <w:p w14:paraId="4F1C4958" w14:textId="77777777" w:rsidR="00A2708B" w:rsidRPr="00754548" w:rsidRDefault="00A2708B" w:rsidP="006E2E32">
            <w:pPr>
              <w:jc w:val="center"/>
              <w:rPr>
                <w:rFonts w:ascii="Century Gothic" w:eastAsia="Century Gothic" w:hAnsi="Century Gothic" w:cs="Century Gothic"/>
                <w:sz w:val="18"/>
                <w:szCs w:val="18"/>
              </w:rPr>
            </w:pPr>
            <w:r w:rsidRPr="00754548">
              <w:rPr>
                <w:rFonts w:ascii="Century Gothic" w:eastAsia="Century Gothic" w:hAnsi="Century Gothic" w:cs="Century Gothic"/>
                <w:b/>
                <w:sz w:val="18"/>
                <w:szCs w:val="18"/>
              </w:rPr>
              <w:t>Kernel</w:t>
            </w:r>
          </w:p>
        </w:tc>
        <w:tc>
          <w:tcPr>
            <w:tcW w:w="1812" w:type="dxa"/>
            <w:tcBorders>
              <w:top w:val="single" w:sz="4" w:space="0" w:color="auto"/>
              <w:bottom w:val="single" w:sz="4" w:space="0" w:color="auto"/>
            </w:tcBorders>
          </w:tcPr>
          <w:p w14:paraId="0B368871" w14:textId="56671266" w:rsidR="00A2708B" w:rsidRPr="00754548" w:rsidRDefault="00A2708B" w:rsidP="006E2E32">
            <w:pPr>
              <w:jc w:val="center"/>
              <w:rPr>
                <w:rFonts w:ascii="Century Gothic" w:eastAsia="Century Gothic" w:hAnsi="Century Gothic" w:cs="Century Gothic"/>
                <w:sz w:val="18"/>
                <w:szCs w:val="18"/>
              </w:rPr>
            </w:pPr>
            <m:oMathPara>
              <m:oMath>
                <m:r>
                  <m:rPr>
                    <m:sty m:val="bi"/>
                  </m:rPr>
                  <w:rPr>
                    <w:rFonts w:ascii="Cambria Math" w:hAnsi="Cambria Math"/>
                    <w:sz w:val="18"/>
                    <w:szCs w:val="18"/>
                  </w:rPr>
                  <m:t>K</m:t>
                </m:r>
                <m:d>
                  <m:dPr>
                    <m:ctrlPr>
                      <w:rPr>
                        <w:rFonts w:ascii="Cambria Math" w:hAnsi="Cambria Math"/>
                        <w:b/>
                        <w:i/>
                        <w:sz w:val="18"/>
                        <w:szCs w:val="18"/>
                      </w:rPr>
                    </m:ctrlPr>
                  </m:dPr>
                  <m:e>
                    <m:r>
                      <m:rPr>
                        <m:sty m:val="bi"/>
                      </m:rPr>
                      <w:rPr>
                        <w:rFonts w:ascii="Cambria Math" w:hAnsi="Cambria Math"/>
                        <w:sz w:val="18"/>
                        <w:szCs w:val="18"/>
                      </w:rPr>
                      <m:t>X</m:t>
                    </m:r>
                    <m:r>
                      <m:rPr>
                        <m:sty m:val="bi"/>
                      </m:rPr>
                      <w:rPr>
                        <w:rFonts w:ascii="Cambria Math" w:hAnsi="Cambria Math" w:cs="Arial"/>
                        <w:sz w:val="18"/>
                        <w:szCs w:val="18"/>
                      </w:rPr>
                      <m:t>ᵢ</m:t>
                    </m:r>
                    <m:r>
                      <m:rPr>
                        <m:sty m:val="bi"/>
                      </m:rPr>
                      <w:rPr>
                        <w:rFonts w:ascii="Cambria Math" w:hAnsi="Cambria Math"/>
                        <w:sz w:val="18"/>
                        <w:szCs w:val="18"/>
                      </w:rPr>
                      <m:t>, X</m:t>
                    </m:r>
                    <m:r>
                      <m:rPr>
                        <m:sty m:val="bi"/>
                      </m:rPr>
                      <w:rPr>
                        <w:rFonts w:ascii="Cambria Math" w:hAnsi="Cambria Math" w:cs="Arial"/>
                        <w:sz w:val="18"/>
                        <w:szCs w:val="18"/>
                      </w:rPr>
                      <m:t>ⱼ</m:t>
                    </m:r>
                  </m:e>
                </m:d>
              </m:oMath>
            </m:oMathPara>
          </w:p>
        </w:tc>
        <w:tc>
          <w:tcPr>
            <w:tcW w:w="1700" w:type="dxa"/>
            <w:tcBorders>
              <w:top w:val="single" w:sz="4" w:space="0" w:color="auto"/>
              <w:bottom w:val="single" w:sz="4" w:space="0" w:color="auto"/>
            </w:tcBorders>
          </w:tcPr>
          <w:p w14:paraId="461D17DD" w14:textId="77777777" w:rsidR="00A2708B" w:rsidRPr="00754548" w:rsidRDefault="00A2708B" w:rsidP="006E2E32">
            <w:pPr>
              <w:jc w:val="center"/>
              <w:rPr>
                <w:rFonts w:ascii="Century Gothic" w:eastAsia="Century Gothic" w:hAnsi="Century Gothic" w:cs="Century Gothic"/>
                <w:sz w:val="18"/>
                <w:szCs w:val="18"/>
              </w:rPr>
            </w:pPr>
            <w:r w:rsidRPr="00754548">
              <w:rPr>
                <w:rFonts w:ascii="Century Gothic" w:eastAsia="Century Gothic" w:hAnsi="Century Gothic" w:cs="Century Gothic"/>
                <w:b/>
                <w:sz w:val="18"/>
                <w:szCs w:val="18"/>
              </w:rPr>
              <w:t>Parameters</w:t>
            </w:r>
          </w:p>
        </w:tc>
      </w:tr>
      <w:tr w:rsidR="00A2708B" w:rsidRPr="00BC5552" w14:paraId="2A909033" w14:textId="77777777" w:rsidTr="00A2708B">
        <w:trPr>
          <w:jc w:val="center"/>
        </w:trPr>
        <w:tc>
          <w:tcPr>
            <w:tcW w:w="1165" w:type="dxa"/>
            <w:tcBorders>
              <w:top w:val="single" w:sz="4" w:space="0" w:color="auto"/>
            </w:tcBorders>
          </w:tcPr>
          <w:p w14:paraId="314CAC55" w14:textId="77777777" w:rsidR="00A2708B" w:rsidRPr="00754548" w:rsidRDefault="00A2708B" w:rsidP="006E2E32">
            <w:pPr>
              <w:rPr>
                <w:rFonts w:ascii="Century Gothic" w:eastAsia="Century Gothic" w:hAnsi="Century Gothic" w:cs="Century Gothic"/>
                <w:sz w:val="18"/>
                <w:szCs w:val="18"/>
              </w:rPr>
            </w:pPr>
            <w:r w:rsidRPr="00754548">
              <w:rPr>
                <w:rFonts w:ascii="Century Gothic" w:eastAsia="Century Gothic" w:hAnsi="Century Gothic" w:cs="Century Gothic"/>
                <w:sz w:val="18"/>
                <w:szCs w:val="18"/>
              </w:rPr>
              <w:t>Linear</w:t>
            </w:r>
          </w:p>
        </w:tc>
        <w:tc>
          <w:tcPr>
            <w:tcW w:w="1812" w:type="dxa"/>
            <w:tcBorders>
              <w:top w:val="single" w:sz="4" w:space="0" w:color="auto"/>
            </w:tcBorders>
          </w:tcPr>
          <w:p w14:paraId="657BF7BE" w14:textId="0B5636A6" w:rsidR="00A2708B" w:rsidRPr="00754548" w:rsidRDefault="00000000" w:rsidP="00754548">
            <w:pPr>
              <w:jc w:val="center"/>
              <w:rPr>
                <w:rFonts w:ascii="Century Gothic" w:eastAsia="Century Gothic" w:hAnsi="Century Gothic" w:cs="Century Gothic"/>
                <w:sz w:val="18"/>
                <w:szCs w:val="18"/>
                <w:vertAlign w:val="subscript"/>
              </w:rPr>
            </w:pPr>
            <m:oMathPara>
              <m:oMath>
                <m:sSubSup>
                  <m:sSubSupPr>
                    <m:ctrlPr>
                      <w:rPr>
                        <w:rFonts w:ascii="Cambria Math" w:eastAsia="Century Gothic" w:hAnsi="Cambria Math" w:cs="Century Gothic"/>
                        <w:i/>
                        <w:sz w:val="18"/>
                        <w:szCs w:val="18"/>
                        <w:vertAlign w:val="subscript"/>
                      </w:rPr>
                    </m:ctrlPr>
                  </m:sSubSupPr>
                  <m:e>
                    <m:r>
                      <w:rPr>
                        <w:rFonts w:ascii="Cambria Math" w:eastAsia="Century Gothic" w:hAnsi="Cambria Math" w:cs="Century Gothic"/>
                        <w:sz w:val="18"/>
                        <w:szCs w:val="18"/>
                      </w:rPr>
                      <m:t>X</m:t>
                    </m:r>
                    <m:ctrlPr>
                      <w:rPr>
                        <w:rFonts w:ascii="Cambria Math" w:eastAsia="Century Gothic" w:hAnsi="Cambria Math" w:cs="Century Gothic"/>
                        <w:i/>
                        <w:sz w:val="18"/>
                        <w:szCs w:val="18"/>
                      </w:rPr>
                    </m:ctrlPr>
                  </m:e>
                  <m:sub>
                    <m:r>
                      <w:rPr>
                        <w:rFonts w:ascii="Cambria Math" w:eastAsia="Century Gothic" w:hAnsi="Cambria Math" w:cs="Century Gothic"/>
                        <w:sz w:val="18"/>
                        <w:szCs w:val="18"/>
                      </w:rPr>
                      <m:t>i</m:t>
                    </m:r>
                    <m:ctrlPr>
                      <w:rPr>
                        <w:rFonts w:ascii="Cambria Math" w:eastAsia="Century Gothic" w:hAnsi="Cambria Math" w:cs="Century Gothic"/>
                        <w:i/>
                        <w:sz w:val="18"/>
                        <w:szCs w:val="18"/>
                      </w:rPr>
                    </m:ctrlPr>
                  </m:sub>
                  <m:sup>
                    <m:r>
                      <w:rPr>
                        <w:rFonts w:ascii="Cambria Math" w:eastAsia="Century Gothic" w:hAnsi="Cambria Math" w:cs="Century Gothic"/>
                        <w:sz w:val="18"/>
                        <w:szCs w:val="18"/>
                      </w:rPr>
                      <m:t>T</m:t>
                    </m:r>
                  </m:sup>
                </m:sSubSup>
                <m:sSub>
                  <m:sSubPr>
                    <m:ctrlPr>
                      <w:rPr>
                        <w:rFonts w:ascii="Cambria Math" w:eastAsia="Century Gothic" w:hAnsi="Cambria Math" w:cs="Century Gothic"/>
                        <w:i/>
                        <w:sz w:val="18"/>
                        <w:szCs w:val="18"/>
                        <w:vertAlign w:val="subscript"/>
                      </w:rPr>
                    </m:ctrlPr>
                  </m:sSubPr>
                  <m:e>
                    <m:r>
                      <w:rPr>
                        <w:rFonts w:ascii="Cambria Math" w:eastAsia="Century Gothic" w:hAnsi="Cambria Math" w:cs="Century Gothic"/>
                        <w:sz w:val="18"/>
                        <w:szCs w:val="18"/>
                      </w:rPr>
                      <m:t>X</m:t>
                    </m:r>
                    <m:ctrlPr>
                      <w:rPr>
                        <w:rFonts w:ascii="Cambria Math" w:eastAsia="Century Gothic" w:hAnsi="Cambria Math" w:cs="Century Gothic"/>
                        <w:i/>
                        <w:sz w:val="18"/>
                        <w:szCs w:val="18"/>
                      </w:rPr>
                    </m:ctrlPr>
                  </m:e>
                  <m:sub>
                    <m:r>
                      <w:rPr>
                        <w:rFonts w:ascii="Cambria Math" w:eastAsia="Century Gothic" w:hAnsi="Cambria Math" w:cs="Century Gothic"/>
                        <w:sz w:val="18"/>
                        <w:szCs w:val="18"/>
                        <w:vertAlign w:val="subscript"/>
                      </w:rPr>
                      <m:t>j</m:t>
                    </m:r>
                  </m:sub>
                </m:sSub>
              </m:oMath>
            </m:oMathPara>
          </w:p>
        </w:tc>
        <w:tc>
          <w:tcPr>
            <w:tcW w:w="1700" w:type="dxa"/>
            <w:tcBorders>
              <w:top w:val="single" w:sz="4" w:space="0" w:color="auto"/>
            </w:tcBorders>
          </w:tcPr>
          <w:p w14:paraId="5FDC1D12" w14:textId="77777777" w:rsidR="00A2708B" w:rsidRPr="00754548" w:rsidRDefault="00A2708B" w:rsidP="006E2E32">
            <w:pPr>
              <w:jc w:val="center"/>
              <w:rPr>
                <w:rFonts w:ascii="Century Gothic" w:eastAsia="Century Gothic" w:hAnsi="Century Gothic" w:cs="Century Gothic"/>
                <w:sz w:val="18"/>
                <w:szCs w:val="18"/>
              </w:rPr>
            </w:pPr>
            <w:r w:rsidRPr="00754548">
              <w:rPr>
                <w:rFonts w:ascii="Century Gothic" w:eastAsia="Century Gothic" w:hAnsi="Century Gothic" w:cs="Century Gothic"/>
                <w:sz w:val="18"/>
                <w:szCs w:val="18"/>
              </w:rPr>
              <w:t>—</w:t>
            </w:r>
          </w:p>
        </w:tc>
      </w:tr>
      <w:tr w:rsidR="00A2708B" w:rsidRPr="00BC5552" w14:paraId="7832A2EC" w14:textId="77777777" w:rsidTr="00A2708B">
        <w:trPr>
          <w:jc w:val="center"/>
        </w:trPr>
        <w:tc>
          <w:tcPr>
            <w:tcW w:w="1165" w:type="dxa"/>
          </w:tcPr>
          <w:p w14:paraId="06F8C215" w14:textId="77777777" w:rsidR="00A2708B" w:rsidRPr="00754548" w:rsidRDefault="00A2708B" w:rsidP="006E2E32">
            <w:pPr>
              <w:rPr>
                <w:rFonts w:ascii="Century Gothic" w:eastAsia="Century Gothic" w:hAnsi="Century Gothic" w:cs="Century Gothic"/>
                <w:sz w:val="18"/>
                <w:szCs w:val="18"/>
              </w:rPr>
            </w:pPr>
            <w:r w:rsidRPr="00754548">
              <w:rPr>
                <w:rFonts w:ascii="Century Gothic" w:eastAsia="Century Gothic" w:hAnsi="Century Gothic" w:cs="Century Gothic"/>
                <w:sz w:val="18"/>
                <w:szCs w:val="18"/>
              </w:rPr>
              <w:t>Polynomial</w:t>
            </w:r>
          </w:p>
        </w:tc>
        <w:tc>
          <w:tcPr>
            <w:tcW w:w="1812" w:type="dxa"/>
          </w:tcPr>
          <w:p w14:paraId="103A5308" w14:textId="42E21E43" w:rsidR="00A2708B" w:rsidRPr="00754548" w:rsidRDefault="00000000" w:rsidP="006E2E32">
            <w:pPr>
              <w:jc w:val="center"/>
              <w:rPr>
                <w:rFonts w:ascii="Century Gothic" w:eastAsia="Century Gothic" w:hAnsi="Century Gothic" w:cs="Century Gothic"/>
                <w:sz w:val="18"/>
                <w:szCs w:val="18"/>
              </w:rPr>
            </w:pPr>
            <m:oMathPara>
              <m:oMath>
                <m:d>
                  <m:dPr>
                    <m:ctrlPr>
                      <w:rPr>
                        <w:rFonts w:ascii="Cambria Math" w:hAnsi="Cambria Math"/>
                        <w:i/>
                        <w:sz w:val="18"/>
                        <w:szCs w:val="18"/>
                      </w:rPr>
                    </m:ctrlPr>
                  </m:dPr>
                  <m:e>
                    <m:r>
                      <w:rPr>
                        <w:rFonts w:ascii="Cambria Math" w:hAnsi="Cambria Math"/>
                        <w:sz w:val="18"/>
                        <w:szCs w:val="18"/>
                      </w:rPr>
                      <m:t>γ</m:t>
                    </m:r>
                    <m:r>
                      <w:rPr>
                        <w:rFonts w:ascii="Cambria Math" w:hAnsi="Cambria Math" w:cs="Arial"/>
                        <w:sz w:val="18"/>
                        <w:szCs w:val="18"/>
                      </w:rPr>
                      <m:t> </m:t>
                    </m:r>
                    <m:sSubSup>
                      <m:sSubSupPr>
                        <m:ctrlPr>
                          <w:rPr>
                            <w:rFonts w:ascii="Cambria Math" w:hAnsi="Cambria Math"/>
                            <w:i/>
                            <w:sz w:val="18"/>
                            <w:szCs w:val="18"/>
                            <w:vertAlign w:val="superscript"/>
                          </w:rPr>
                        </m:ctrlPr>
                      </m:sSubSupPr>
                      <m:e>
                        <m:r>
                          <w:rPr>
                            <w:rFonts w:ascii="Cambria Math" w:hAnsi="Cambria Math"/>
                            <w:sz w:val="18"/>
                            <w:szCs w:val="18"/>
                          </w:rPr>
                          <m:t>X</m:t>
                        </m:r>
                        <m:ctrlPr>
                          <w:rPr>
                            <w:rFonts w:ascii="Cambria Math" w:hAnsi="Cambria Math" w:cs="Arial"/>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bscript"/>
                          </w:rPr>
                          <m:t>T</m:t>
                        </m:r>
                      </m:sup>
                    </m:sSubSup>
                    <m:sSub>
                      <m:sSubPr>
                        <m:ctrlPr>
                          <w:rPr>
                            <w:rFonts w:ascii="Cambria Math" w:hAnsi="Cambria Math"/>
                            <w:i/>
                            <w:sz w:val="18"/>
                            <w:szCs w:val="18"/>
                            <w:vertAlign w:val="subscript"/>
                          </w:rPr>
                        </m:ctrlPr>
                      </m:sSubPr>
                      <m:e>
                        <m:r>
                          <w:rPr>
                            <w:rFonts w:ascii="Cambria Math" w:hAnsi="Cambria Math"/>
                            <w:sz w:val="18"/>
                            <w:szCs w:val="18"/>
                          </w:rPr>
                          <m:t>X</m:t>
                        </m:r>
                        <m:ctrlPr>
                          <w:rPr>
                            <w:rFonts w:ascii="Cambria Math" w:hAnsi="Cambria Math"/>
                            <w:i/>
                            <w:sz w:val="18"/>
                            <w:szCs w:val="18"/>
                          </w:rPr>
                        </m:ctrlPr>
                      </m:e>
                      <m:sub>
                        <m:r>
                          <w:rPr>
                            <w:rFonts w:ascii="Cambria Math" w:hAnsi="Cambria Math"/>
                            <w:sz w:val="18"/>
                            <w:szCs w:val="18"/>
                            <w:vertAlign w:val="subscript"/>
                          </w:rPr>
                          <m:t>j</m:t>
                        </m:r>
                      </m:sub>
                    </m:sSub>
                    <m:r>
                      <w:rPr>
                        <w:rFonts w:ascii="Cambria Math" w:hAnsi="Cambria Math" w:cs="Arial"/>
                        <w:sz w:val="18"/>
                        <w:szCs w:val="18"/>
                      </w:rPr>
                      <m:t> </m:t>
                    </m:r>
                    <m:r>
                      <w:rPr>
                        <w:rFonts w:ascii="Cambria Math" w:hAnsi="Cambria Math"/>
                        <w:sz w:val="18"/>
                        <w:szCs w:val="18"/>
                      </w:rPr>
                      <m:t>+</m:t>
                    </m:r>
                    <m:r>
                      <w:rPr>
                        <w:rFonts w:ascii="Cambria Math" w:hAnsi="Cambria Math" w:cs="Arial"/>
                        <w:sz w:val="18"/>
                        <w:szCs w:val="18"/>
                      </w:rPr>
                      <m:t> </m:t>
                    </m:r>
                    <m:r>
                      <w:rPr>
                        <w:rFonts w:ascii="Cambria Math" w:hAnsi="Cambria Math"/>
                        <w:sz w:val="18"/>
                        <w:szCs w:val="18"/>
                      </w:rPr>
                      <m:t>1</m:t>
                    </m:r>
                  </m:e>
                </m:d>
                <m:r>
                  <w:rPr>
                    <w:rFonts w:ascii="Cambria Math" w:hAnsi="Cambria Math"/>
                    <w:sz w:val="18"/>
                    <w:szCs w:val="18"/>
                    <w:vertAlign w:val="superscript"/>
                  </w:rPr>
                  <m:t>d</m:t>
                </m:r>
              </m:oMath>
            </m:oMathPara>
          </w:p>
        </w:tc>
        <w:tc>
          <w:tcPr>
            <w:tcW w:w="1700" w:type="dxa"/>
          </w:tcPr>
          <w:p w14:paraId="2890249D" w14:textId="3974478F" w:rsidR="00A2708B" w:rsidRPr="00754548" w:rsidRDefault="00A2708B" w:rsidP="006E2E32">
            <w:pPr>
              <w:jc w:val="center"/>
              <w:rPr>
                <w:rFonts w:ascii="Century Gothic" w:eastAsia="Century Gothic" w:hAnsi="Century Gothic" w:cs="Century Gothic"/>
                <w:sz w:val="18"/>
                <w:szCs w:val="18"/>
              </w:rPr>
            </w:pPr>
            <w:r w:rsidRPr="00754548">
              <w:rPr>
                <w:rFonts w:ascii="Century Gothic" w:eastAsia="Century Gothic" w:hAnsi="Century Gothic" w:cs="Century Gothic"/>
                <w:i/>
                <w:sz w:val="18"/>
                <w:szCs w:val="18"/>
              </w:rPr>
              <w:t>γ</w:t>
            </w:r>
            <w:r w:rsidRPr="00754548">
              <w:rPr>
                <w:rFonts w:ascii="Century Gothic" w:eastAsia="Century Gothic" w:hAnsi="Century Gothic" w:cs="Century Gothic"/>
                <w:sz w:val="18"/>
                <w:szCs w:val="18"/>
              </w:rPr>
              <w:t xml:space="preserve"> &gt; 0</w:t>
            </w:r>
          </w:p>
        </w:tc>
      </w:tr>
      <w:tr w:rsidR="00A2708B" w:rsidRPr="00BC5552" w14:paraId="70768B03" w14:textId="77777777" w:rsidTr="00A2708B">
        <w:trPr>
          <w:jc w:val="center"/>
        </w:trPr>
        <w:tc>
          <w:tcPr>
            <w:tcW w:w="1165" w:type="dxa"/>
          </w:tcPr>
          <w:p w14:paraId="49A12D5F" w14:textId="77777777" w:rsidR="00A2708B" w:rsidRPr="00754548" w:rsidRDefault="00A2708B" w:rsidP="006E2E32">
            <w:pPr>
              <w:rPr>
                <w:rFonts w:ascii="Century Gothic" w:eastAsia="Century Gothic" w:hAnsi="Century Gothic" w:cs="Century Gothic"/>
                <w:sz w:val="18"/>
                <w:szCs w:val="18"/>
              </w:rPr>
            </w:pPr>
            <w:r w:rsidRPr="00754548">
              <w:rPr>
                <w:rFonts w:ascii="Century Gothic" w:eastAsia="Century Gothic" w:hAnsi="Century Gothic" w:cs="Century Gothic"/>
                <w:sz w:val="18"/>
                <w:szCs w:val="18"/>
              </w:rPr>
              <w:t>RBF</w:t>
            </w:r>
          </w:p>
        </w:tc>
        <w:tc>
          <w:tcPr>
            <w:tcW w:w="1812" w:type="dxa"/>
          </w:tcPr>
          <w:p w14:paraId="4756763E" w14:textId="027D67D4" w:rsidR="00A2708B" w:rsidRPr="00754548" w:rsidRDefault="00000000" w:rsidP="006E2E32">
            <w:pPr>
              <w:jc w:val="center"/>
              <w:rPr>
                <w:rFonts w:ascii="Century Gothic" w:eastAsia="Century Gothic" w:hAnsi="Century Gothic" w:cs="Century Gothic"/>
                <w:sz w:val="18"/>
                <w:szCs w:val="18"/>
              </w:rPr>
            </w:pPr>
            <m:oMathPara>
              <m:oMath>
                <m:func>
                  <m:funcPr>
                    <m:ctrlPr>
                      <w:rPr>
                        <w:rFonts w:ascii="Cambria Math" w:hAnsi="Cambria Math"/>
                        <w:sz w:val="18"/>
                        <w:szCs w:val="18"/>
                      </w:rPr>
                    </m:ctrlPr>
                  </m:funcPr>
                  <m:fName>
                    <m:r>
                      <m:rPr>
                        <m:sty m:val="p"/>
                      </m:rPr>
                      <w:rPr>
                        <w:rFonts w:ascii="Cambria Math" w:hAnsi="Cambria Math"/>
                        <w:sz w:val="18"/>
                        <w:szCs w:val="18"/>
                      </w:rPr>
                      <m:t>exp</m:t>
                    </m:r>
                  </m:fName>
                  <m:e>
                    <m:d>
                      <m:dPr>
                        <m:ctrlPr>
                          <w:rPr>
                            <w:rFonts w:ascii="Cambria Math" w:hAnsi="Cambria Math"/>
                            <w:i/>
                            <w:sz w:val="18"/>
                            <w:szCs w:val="18"/>
                          </w:rPr>
                        </m:ctrlPr>
                      </m:dPr>
                      <m:e>
                        <m:r>
                          <w:rPr>
                            <w:rFonts w:ascii="Cambria Math" w:hAnsi="Cambria Math"/>
                            <w:sz w:val="18"/>
                            <w:szCs w:val="18"/>
                          </w:rPr>
                          <m:t>-γ</m:t>
                        </m:r>
                        <m:d>
                          <m:dPr>
                            <m:begChr m:val="‖"/>
                            <m:endChr m:val="‖"/>
                            <m:ctrlPr>
                              <w:rPr>
                                <w:rFonts w:ascii="Cambria Math" w:hAnsi="Cambria Math" w:cs="Arial"/>
                                <w:i/>
                                <w:sz w:val="18"/>
                                <w:szCs w:val="18"/>
                              </w:rPr>
                            </m:ctrlPr>
                          </m:dPr>
                          <m:e>
                            <m:sSub>
                              <m:sSubPr>
                                <m:ctrlPr>
                                  <w:rPr>
                                    <w:rFonts w:ascii="Cambria Math" w:hAnsi="Cambria Math"/>
                                    <w:i/>
                                    <w:sz w:val="18"/>
                                    <w:szCs w:val="18"/>
                                    <w:vertAlign w:val="subscript"/>
                                  </w:rPr>
                                </m:ctrlPr>
                              </m:sSubPr>
                              <m:e>
                                <m:r>
                                  <w:rPr>
                                    <w:rFonts w:ascii="Cambria Math" w:hAnsi="Cambria Math"/>
                                    <w:sz w:val="18"/>
                                    <w:szCs w:val="18"/>
                                  </w:rPr>
                                  <m:t>X</m:t>
                                </m:r>
                                <m:ctrlPr>
                                  <w:rPr>
                                    <w:rFonts w:ascii="Cambria Math" w:hAnsi="Cambria Math" w:cs="Arial"/>
                                    <w:i/>
                                    <w:sz w:val="18"/>
                                    <w:szCs w:val="18"/>
                                  </w:rPr>
                                </m:ctrlPr>
                              </m:e>
                              <m:sub>
                                <m:r>
                                  <w:rPr>
                                    <w:rFonts w:ascii="Cambria Math" w:hAnsi="Cambria Math"/>
                                    <w:sz w:val="18"/>
                                    <w:szCs w:val="18"/>
                                    <w:vertAlign w:val="subscript"/>
                                  </w:rPr>
                                  <m:t>i</m:t>
                                </m:r>
                              </m:sub>
                            </m:sSub>
                            <m:r>
                              <w:rPr>
                                <w:rFonts w:ascii="Cambria Math" w:hAnsi="Cambria Math"/>
                                <w:sz w:val="18"/>
                                <w:szCs w:val="18"/>
                              </w:rPr>
                              <m:t>-X</m:t>
                            </m:r>
                            <m:r>
                              <w:rPr>
                                <w:rFonts w:ascii="Cambria Math" w:hAnsi="Cambria Math"/>
                                <w:sz w:val="18"/>
                                <w:szCs w:val="18"/>
                                <w:vertAlign w:val="subscript"/>
                              </w:rPr>
                              <m:t>j</m:t>
                            </m:r>
                          </m:e>
                        </m:d>
                        <m:r>
                          <w:rPr>
                            <w:rFonts w:ascii="Cambria Math" w:hAnsi="Cambria Math"/>
                            <w:sz w:val="18"/>
                            <w:szCs w:val="18"/>
                            <w:vertAlign w:val="superscript"/>
                          </w:rPr>
                          <m:t>2</m:t>
                        </m:r>
                      </m:e>
                    </m:d>
                  </m:e>
                </m:func>
              </m:oMath>
            </m:oMathPara>
          </w:p>
        </w:tc>
        <w:tc>
          <w:tcPr>
            <w:tcW w:w="1700" w:type="dxa"/>
          </w:tcPr>
          <w:p w14:paraId="5B031578" w14:textId="77777777" w:rsidR="00A2708B" w:rsidRPr="00754548" w:rsidRDefault="00A2708B" w:rsidP="006E2E32">
            <w:pPr>
              <w:jc w:val="center"/>
              <w:rPr>
                <w:rFonts w:ascii="Century Gothic" w:eastAsia="Century Gothic" w:hAnsi="Century Gothic" w:cs="Century Gothic"/>
                <w:sz w:val="18"/>
                <w:szCs w:val="18"/>
              </w:rPr>
            </w:pPr>
            <w:r w:rsidRPr="00754548">
              <w:rPr>
                <w:rFonts w:ascii="Century Gothic" w:eastAsia="Century Gothic" w:hAnsi="Century Gothic" w:cs="Century Gothic"/>
                <w:i/>
                <w:sz w:val="18"/>
                <w:szCs w:val="18"/>
              </w:rPr>
              <w:t>γ</w:t>
            </w:r>
            <w:r w:rsidRPr="00754548">
              <w:rPr>
                <w:rFonts w:ascii="Century Gothic" w:eastAsia="Century Gothic" w:hAnsi="Century Gothic" w:cs="Century Gothic"/>
                <w:sz w:val="18"/>
                <w:szCs w:val="18"/>
              </w:rPr>
              <w:t xml:space="preserve"> &gt; 0</w:t>
            </w:r>
          </w:p>
        </w:tc>
      </w:tr>
      <w:tr w:rsidR="00A2708B" w:rsidRPr="00BC5552" w14:paraId="1A59615F" w14:textId="77777777" w:rsidTr="00A2708B">
        <w:trPr>
          <w:jc w:val="center"/>
        </w:trPr>
        <w:tc>
          <w:tcPr>
            <w:tcW w:w="1165" w:type="dxa"/>
            <w:tcBorders>
              <w:bottom w:val="single" w:sz="4" w:space="0" w:color="auto"/>
            </w:tcBorders>
          </w:tcPr>
          <w:p w14:paraId="0EBFD320" w14:textId="77777777" w:rsidR="00A2708B" w:rsidRPr="00754548" w:rsidRDefault="00A2708B" w:rsidP="006E2E32">
            <w:pPr>
              <w:rPr>
                <w:rFonts w:ascii="Century Gothic" w:eastAsia="Century Gothic" w:hAnsi="Century Gothic" w:cs="Century Gothic"/>
                <w:sz w:val="18"/>
                <w:szCs w:val="18"/>
              </w:rPr>
            </w:pPr>
            <w:r w:rsidRPr="00754548">
              <w:rPr>
                <w:rFonts w:ascii="Century Gothic" w:eastAsia="Century Gothic" w:hAnsi="Century Gothic" w:cs="Century Gothic"/>
                <w:sz w:val="18"/>
                <w:szCs w:val="18"/>
              </w:rPr>
              <w:t>Sigmoid</w:t>
            </w:r>
          </w:p>
        </w:tc>
        <w:tc>
          <w:tcPr>
            <w:tcW w:w="1812" w:type="dxa"/>
            <w:tcBorders>
              <w:bottom w:val="single" w:sz="4" w:space="0" w:color="auto"/>
            </w:tcBorders>
          </w:tcPr>
          <w:p w14:paraId="70132ECA" w14:textId="54572616" w:rsidR="00A2708B" w:rsidRPr="00754548" w:rsidRDefault="00000000" w:rsidP="006E2E32">
            <w:pPr>
              <w:jc w:val="center"/>
              <w:rPr>
                <w:rFonts w:ascii="Century Gothic" w:eastAsia="Century Gothic" w:hAnsi="Century Gothic" w:cs="Century Gothic"/>
                <w:sz w:val="18"/>
                <w:szCs w:val="18"/>
              </w:rPr>
            </w:pPr>
            <m:oMathPara>
              <m:oMath>
                <m:func>
                  <m:funcPr>
                    <m:ctrlPr>
                      <w:rPr>
                        <w:rFonts w:ascii="Cambria Math" w:hAnsi="Cambria Math"/>
                        <w:sz w:val="18"/>
                        <w:szCs w:val="18"/>
                      </w:rPr>
                    </m:ctrlPr>
                  </m:funcPr>
                  <m:fName>
                    <m:r>
                      <m:rPr>
                        <m:sty m:val="p"/>
                      </m:rPr>
                      <w:rPr>
                        <w:rFonts w:ascii="Cambria Math" w:hAnsi="Cambria Math"/>
                        <w:sz w:val="18"/>
                        <w:szCs w:val="18"/>
                      </w:rPr>
                      <m:t>tanh</m:t>
                    </m:r>
                  </m:fName>
                  <m:e>
                    <m:d>
                      <m:dPr>
                        <m:ctrlPr>
                          <w:rPr>
                            <w:rFonts w:ascii="Cambria Math" w:hAnsi="Cambria Math"/>
                            <w:i/>
                            <w:sz w:val="18"/>
                            <w:szCs w:val="18"/>
                          </w:rPr>
                        </m:ctrlPr>
                      </m:dPr>
                      <m:e>
                        <m:r>
                          <w:rPr>
                            <w:rFonts w:ascii="Cambria Math" w:hAnsi="Cambria Math"/>
                            <w:sz w:val="18"/>
                            <w:szCs w:val="18"/>
                          </w:rPr>
                          <m:t>γ</m:t>
                        </m:r>
                        <m:r>
                          <w:rPr>
                            <w:rFonts w:ascii="Cambria Math" w:hAnsi="Cambria Math" w:cs="Arial"/>
                            <w:sz w:val="18"/>
                            <w:szCs w:val="18"/>
                          </w:rPr>
                          <m:t> </m:t>
                        </m:r>
                        <m:d>
                          <m:dPr>
                            <m:ctrlPr>
                              <w:rPr>
                                <w:rFonts w:ascii="Cambria Math" w:hAnsi="Cambria Math" w:cs="Arial"/>
                                <w:i/>
                                <w:sz w:val="18"/>
                                <w:szCs w:val="18"/>
                              </w:rPr>
                            </m:ctrlPr>
                          </m:dPr>
                          <m:e>
                            <m:sSubSup>
                              <m:sSubSupPr>
                                <m:ctrlPr>
                                  <w:rPr>
                                    <w:rFonts w:ascii="Cambria Math" w:hAnsi="Cambria Math"/>
                                    <w:i/>
                                    <w:sz w:val="18"/>
                                    <w:szCs w:val="18"/>
                                    <w:vertAlign w:val="superscript"/>
                                  </w:rPr>
                                </m:ctrlPr>
                              </m:sSubSupPr>
                              <m:e>
                                <m:r>
                                  <w:rPr>
                                    <w:rFonts w:ascii="Cambria Math" w:hAnsi="Cambria Math"/>
                                    <w:sz w:val="18"/>
                                    <w:szCs w:val="18"/>
                                  </w:rPr>
                                  <m:t>X</m:t>
                                </m:r>
                                <m:ctrlPr>
                                  <w:rPr>
                                    <w:rFonts w:ascii="Cambria Math" w:hAnsi="Cambria Math" w:cs="Arial"/>
                                    <w:i/>
                                    <w:sz w:val="18"/>
                                    <w:szCs w:val="18"/>
                                  </w:rPr>
                                </m:ctrlPr>
                              </m:e>
                              <m:sub>
                                <m:r>
                                  <w:rPr>
                                    <w:rFonts w:ascii="Cambria Math" w:hAnsi="Cambria Math"/>
                                    <w:sz w:val="18"/>
                                    <w:szCs w:val="18"/>
                                    <w:vertAlign w:val="subscript"/>
                                  </w:rPr>
                                  <m:t>i</m:t>
                                </m:r>
                                <m:ctrlPr>
                                  <w:rPr>
                                    <w:rFonts w:ascii="Cambria Math" w:hAnsi="Cambria Math"/>
                                    <w:i/>
                                    <w:sz w:val="18"/>
                                    <w:szCs w:val="18"/>
                                    <w:vertAlign w:val="subscript"/>
                                  </w:rPr>
                                </m:ctrlPr>
                              </m:sub>
                              <m:sup>
                                <m:r>
                                  <w:rPr>
                                    <w:rFonts w:ascii="Cambria Math" w:hAnsi="Cambria Math"/>
                                    <w:sz w:val="18"/>
                                    <w:szCs w:val="18"/>
                                    <w:vertAlign w:val="superscript"/>
                                  </w:rPr>
                                  <m:t>T</m:t>
                                </m:r>
                              </m:sup>
                            </m:sSubSup>
                            <m:sSub>
                              <m:sSubPr>
                                <m:ctrlPr>
                                  <w:rPr>
                                    <w:rFonts w:ascii="Cambria Math" w:hAnsi="Cambria Math"/>
                                    <w:i/>
                                    <w:sz w:val="18"/>
                                    <w:szCs w:val="18"/>
                                    <w:vertAlign w:val="subscript"/>
                                  </w:rPr>
                                </m:ctrlPr>
                              </m:sSubPr>
                              <m:e>
                                <m:r>
                                  <w:rPr>
                                    <w:rFonts w:ascii="Cambria Math" w:hAnsi="Cambria Math"/>
                                    <w:sz w:val="18"/>
                                    <w:szCs w:val="18"/>
                                  </w:rPr>
                                  <m:t>X</m:t>
                                </m:r>
                                <m:ctrlPr>
                                  <w:rPr>
                                    <w:rFonts w:ascii="Cambria Math" w:hAnsi="Cambria Math"/>
                                    <w:i/>
                                    <w:sz w:val="18"/>
                                    <w:szCs w:val="18"/>
                                  </w:rPr>
                                </m:ctrlPr>
                              </m:e>
                              <m:sub>
                                <m:r>
                                  <w:rPr>
                                    <w:rFonts w:ascii="Cambria Math" w:hAnsi="Cambria Math"/>
                                    <w:sz w:val="18"/>
                                    <w:szCs w:val="18"/>
                                    <w:vertAlign w:val="subscript"/>
                                  </w:rPr>
                                  <m:t>j</m:t>
                                </m:r>
                              </m:sub>
                            </m:sSub>
                            <m:ctrlPr>
                              <w:rPr>
                                <w:rFonts w:ascii="Cambria Math" w:hAnsi="Cambria Math"/>
                                <w:i/>
                                <w:sz w:val="18"/>
                                <w:szCs w:val="18"/>
                                <w:vertAlign w:val="subscript"/>
                              </w:rPr>
                            </m:ctrlPr>
                          </m:e>
                        </m:d>
                        <m:r>
                          <w:rPr>
                            <w:rFonts w:ascii="Cambria Math" w:hAnsi="Cambria Math" w:cs="Arial"/>
                            <w:sz w:val="18"/>
                            <w:szCs w:val="18"/>
                          </w:rPr>
                          <m:t> </m:t>
                        </m:r>
                        <m:r>
                          <w:rPr>
                            <w:rFonts w:ascii="Cambria Math" w:hAnsi="Cambria Math"/>
                            <w:sz w:val="18"/>
                            <w:szCs w:val="18"/>
                          </w:rPr>
                          <m:t>+</m:t>
                        </m:r>
                        <m:r>
                          <w:rPr>
                            <w:rFonts w:ascii="Cambria Math" w:hAnsi="Cambria Math" w:cs="Arial"/>
                            <w:sz w:val="18"/>
                            <w:szCs w:val="18"/>
                          </w:rPr>
                          <m:t> </m:t>
                        </m:r>
                        <m:r>
                          <w:rPr>
                            <w:rFonts w:ascii="Cambria Math" w:hAnsi="Cambria Math"/>
                            <w:sz w:val="18"/>
                            <w:szCs w:val="18"/>
                          </w:rPr>
                          <m:t>c</m:t>
                        </m:r>
                      </m:e>
                    </m:d>
                  </m:e>
                </m:func>
              </m:oMath>
            </m:oMathPara>
          </w:p>
        </w:tc>
        <w:tc>
          <w:tcPr>
            <w:tcW w:w="1700" w:type="dxa"/>
            <w:tcBorders>
              <w:bottom w:val="single" w:sz="4" w:space="0" w:color="auto"/>
            </w:tcBorders>
          </w:tcPr>
          <w:p w14:paraId="2AF6F61E" w14:textId="77777777" w:rsidR="00A2708B" w:rsidRPr="00754548" w:rsidRDefault="00A2708B" w:rsidP="006E2E32">
            <w:pPr>
              <w:jc w:val="center"/>
              <w:rPr>
                <w:rFonts w:ascii="Century Gothic" w:eastAsia="Century Gothic" w:hAnsi="Century Gothic" w:cs="Century Gothic"/>
                <w:sz w:val="18"/>
                <w:szCs w:val="18"/>
              </w:rPr>
            </w:pPr>
            <w:r w:rsidRPr="00754548">
              <w:rPr>
                <w:rFonts w:ascii="Century Gothic" w:eastAsia="Century Gothic" w:hAnsi="Century Gothic" w:cs="Century Gothic"/>
                <w:i/>
                <w:sz w:val="18"/>
                <w:szCs w:val="18"/>
              </w:rPr>
              <w:t>γ</w:t>
            </w:r>
            <w:r w:rsidRPr="00754548">
              <w:rPr>
                <w:rFonts w:ascii="Century Gothic" w:eastAsia="Century Gothic" w:hAnsi="Century Gothic" w:cs="Century Gothic"/>
                <w:sz w:val="18"/>
                <w:szCs w:val="18"/>
              </w:rPr>
              <w:t xml:space="preserve">, </w:t>
            </w:r>
            <w:r w:rsidRPr="00754548">
              <w:rPr>
                <w:rFonts w:ascii="Century Gothic" w:eastAsia="Century Gothic" w:hAnsi="Century Gothic" w:cs="Century Gothic"/>
                <w:i/>
                <w:sz w:val="18"/>
                <w:szCs w:val="18"/>
              </w:rPr>
              <w:t>c</w:t>
            </w:r>
            <w:r w:rsidRPr="00754548">
              <w:rPr>
                <w:rFonts w:ascii="Century Gothic" w:eastAsia="Century Gothic" w:hAnsi="Century Gothic" w:cs="Century Gothic"/>
                <w:sz w:val="18"/>
                <w:szCs w:val="18"/>
              </w:rPr>
              <w:t xml:space="preserve"> </w:t>
            </w:r>
            <w:r w:rsidRPr="00754548">
              <w:rPr>
                <w:rFonts w:ascii="Cambria Math" w:eastAsia="Century Gothic" w:hAnsi="Cambria Math" w:cs="Cambria Math"/>
                <w:sz w:val="18"/>
                <w:szCs w:val="18"/>
              </w:rPr>
              <w:t>∈</w:t>
            </w:r>
            <w:r w:rsidRPr="00754548">
              <w:rPr>
                <w:rFonts w:ascii="Century Gothic" w:eastAsia="Century Gothic" w:hAnsi="Century Gothic" w:cs="Century Gothic"/>
                <w:sz w:val="18"/>
                <w:szCs w:val="18"/>
              </w:rPr>
              <w:t xml:space="preserve"> </w:t>
            </w:r>
            <w:r w:rsidRPr="00754548">
              <w:rPr>
                <w:rFonts w:ascii="Cambria Math" w:eastAsia="Century Gothic" w:hAnsi="Cambria Math" w:cs="Cambria Math"/>
                <w:sz w:val="18"/>
                <w:szCs w:val="18"/>
              </w:rPr>
              <w:t>ℝ</w:t>
            </w:r>
          </w:p>
        </w:tc>
      </w:tr>
    </w:tbl>
    <w:p w14:paraId="6E3C14A7" w14:textId="77777777" w:rsidR="00E00D7C" w:rsidRDefault="00E00D7C" w:rsidP="006E2E32">
      <w:pPr>
        <w:rPr>
          <w:rFonts w:ascii="Century Gothic" w:eastAsia="Century Gothic" w:hAnsi="Century Gothic" w:cs="Century Gothic"/>
          <w:b/>
          <w:color w:val="943634"/>
          <w:sz w:val="18"/>
          <w:szCs w:val="18"/>
        </w:rPr>
      </w:pPr>
    </w:p>
    <w:p w14:paraId="75D5636B" w14:textId="5ABBB5D8" w:rsidR="00E00D7C" w:rsidRDefault="007346AA" w:rsidP="006E2E32">
      <w:pPr>
        <w:rPr>
          <w:rFonts w:ascii="Century Gothic" w:eastAsia="Century Gothic" w:hAnsi="Century Gothic" w:cs="Century Gothic"/>
          <w:b/>
          <w:color w:val="943634"/>
          <w:sz w:val="18"/>
          <w:szCs w:val="18"/>
        </w:rPr>
      </w:pPr>
      <w:proofErr w:type="gramStart"/>
      <w:r w:rsidRPr="00E00D7C">
        <w:rPr>
          <w:rFonts w:ascii="Century Gothic" w:eastAsia="Century Gothic" w:hAnsi="Century Gothic" w:cs="Century Gothic"/>
          <w:b/>
          <w:color w:val="943634"/>
          <w:sz w:val="18"/>
          <w:szCs w:val="18"/>
        </w:rPr>
        <w:t>2.3.3  Data</w:t>
      </w:r>
      <w:proofErr w:type="gramEnd"/>
      <w:r w:rsidRPr="00E00D7C">
        <w:rPr>
          <w:rFonts w:ascii="Century Gothic" w:eastAsia="Century Gothic" w:hAnsi="Century Gothic" w:cs="Century Gothic"/>
          <w:b/>
          <w:color w:val="943634"/>
          <w:sz w:val="18"/>
          <w:szCs w:val="18"/>
        </w:rPr>
        <w:t xml:space="preserve"> Pre-processing and Hyperparameter Tuning Procedure</w:t>
      </w:r>
    </w:p>
    <w:p w14:paraId="71509911" w14:textId="77777777" w:rsidR="00E00D7C" w:rsidRPr="00E00D7C" w:rsidRDefault="00E00D7C" w:rsidP="006E2E32">
      <w:pPr>
        <w:rPr>
          <w:rFonts w:ascii="Century Gothic" w:eastAsia="Century Gothic" w:hAnsi="Century Gothic" w:cs="Century Gothic"/>
          <w:b/>
          <w:color w:val="943634"/>
          <w:sz w:val="18"/>
          <w:szCs w:val="18"/>
        </w:rPr>
      </w:pPr>
    </w:p>
    <w:p w14:paraId="6D975498" w14:textId="61954CFE" w:rsidR="00727A10" w:rsidRDefault="00DB5F1C" w:rsidP="00F3357C">
      <w:pPr>
        <w:rPr>
          <w:rFonts w:ascii="Century Gothic" w:eastAsia="Century Gothic" w:hAnsi="Century Gothic" w:cs="Century Gothic"/>
          <w:sz w:val="18"/>
          <w:szCs w:val="18"/>
        </w:rPr>
      </w:pPr>
      <w:r w:rsidRPr="00DB5F1C">
        <w:rPr>
          <w:rFonts w:ascii="Century Gothic" w:eastAsia="Century Gothic" w:hAnsi="Century Gothic" w:cs="Century Gothic"/>
          <w:sz w:val="18"/>
          <w:szCs w:val="18"/>
        </w:rPr>
        <w:t xml:space="preserve">Raw data scales can easily distort kernel distance calculations. We neutralize this risk by normalizing the INCO stock price series into a defined </w:t>
      </w:r>
      <m:oMath>
        <m:d>
          <m:dPr>
            <m:begChr m:val="["/>
            <m:endChr m:val="]"/>
            <m:ctrlPr>
              <w:rPr>
                <w:rFonts w:ascii="Cambria Math" w:eastAsia="Century Gothic" w:hAnsi="Cambria Math" w:cs="Century Gothic"/>
                <w:i/>
                <w:sz w:val="18"/>
                <w:szCs w:val="18"/>
              </w:rPr>
            </m:ctrlPr>
          </m:dPr>
          <m:e>
            <m:r>
              <w:rPr>
                <w:rFonts w:ascii="Cambria Math" w:eastAsia="Century Gothic" w:hAnsi="Cambria Math" w:cs="Century Gothic"/>
                <w:sz w:val="18"/>
                <w:szCs w:val="18"/>
              </w:rPr>
              <m:t>0.1, 1</m:t>
            </m:r>
          </m:e>
        </m:d>
      </m:oMath>
      <w:r w:rsidRPr="00DB5F1C">
        <w:rPr>
          <w:rFonts w:ascii="Century Gothic" w:eastAsia="Century Gothic" w:hAnsi="Century Gothic" w:cs="Century Gothic"/>
          <w:sz w:val="18"/>
          <w:szCs w:val="18"/>
        </w:rPr>
        <w:t xml:space="preserve"> range before running any computational models. We apply the following generalized min-max transformation to achieve this exact scaling:</w:t>
      </w:r>
    </w:p>
    <w:tbl>
      <w:tblPr>
        <w:tblW w:w="4820" w:type="dxa"/>
        <w:tblLook w:val="04A0" w:firstRow="1" w:lastRow="0" w:firstColumn="1" w:lastColumn="0" w:noHBand="0" w:noVBand="1"/>
      </w:tblPr>
      <w:tblGrid>
        <w:gridCol w:w="4386"/>
        <w:gridCol w:w="449"/>
      </w:tblGrid>
      <w:tr w:rsidR="00727A10" w14:paraId="587EE909" w14:textId="77777777" w:rsidTr="00727A10">
        <w:tc>
          <w:tcPr>
            <w:tcW w:w="4231" w:type="dxa"/>
          </w:tcPr>
          <w:p w14:paraId="2B41009F" w14:textId="49C5AD7E" w:rsidR="00727A10" w:rsidRPr="00727A10" w:rsidRDefault="00000000" w:rsidP="00D542B1">
            <w:pPr>
              <w:spacing w:after="55"/>
              <w:rPr>
                <w:rFonts w:ascii="Century Gothic" w:hAnsi="Century Gothic"/>
                <w:sz w:val="18"/>
                <w:szCs w:val="18"/>
              </w:rPr>
            </w:pPr>
            <m:oMathPara>
              <m:oMath>
                <m:eqArr>
                  <m:eqArrPr>
                    <m:maxDist m:val="1"/>
                    <m:ctrlPr>
                      <w:rPr>
                        <w:rFonts w:ascii="Cambria Math" w:eastAsia="Century Gothic" w:hAnsi="Cambria Math" w:cs="Century Gothic"/>
                        <w:i/>
                        <w:sz w:val="18"/>
                        <w:szCs w:val="18"/>
                      </w:rPr>
                    </m:ctrlPr>
                  </m:eqArrPr>
                  <m:e>
                    <m:sSup>
                      <m:sSupPr>
                        <m:ctrlPr>
                          <w:rPr>
                            <w:rFonts w:ascii="Cambria Math" w:eastAsia="Century Gothic" w:hAnsi="Cambria Math" w:cs="Century Gothic"/>
                            <w:i/>
                            <w:sz w:val="18"/>
                            <w:szCs w:val="18"/>
                          </w:rPr>
                        </m:ctrlPr>
                      </m:sSupPr>
                      <m:e>
                        <m:r>
                          <w:rPr>
                            <w:rFonts w:ascii="Cambria Math" w:eastAsia="Century Gothic" w:hAnsi="Cambria Math" w:cs="Century Gothic"/>
                            <w:sz w:val="18"/>
                            <w:szCs w:val="18"/>
                          </w:rPr>
                          <m:t>y</m:t>
                        </m:r>
                      </m:e>
                      <m:sup>
                        <m:r>
                          <w:rPr>
                            <w:rFonts w:ascii="Cambria Math" w:eastAsia="Century Gothic" w:hAnsi="Cambria Math" w:cs="Century Gothic"/>
                            <w:sz w:val="18"/>
                            <w:szCs w:val="18"/>
                          </w:rPr>
                          <m:t>k</m:t>
                        </m:r>
                      </m:sup>
                    </m:sSup>
                    <m:r>
                      <w:rPr>
                        <w:rFonts w:ascii="Cambria Math" w:eastAsia="Century Gothic" w:hAnsi="Cambria Math" w:cs="Century Gothic"/>
                        <w:sz w:val="18"/>
                        <w:szCs w:val="18"/>
                      </w:rPr>
                      <m:t xml:space="preserve"> =</m:t>
                    </m:r>
                    <m:f>
                      <m:fPr>
                        <m:ctrlPr>
                          <w:rPr>
                            <w:rFonts w:ascii="Cambria Math" w:eastAsia="Century Gothic" w:hAnsi="Cambria Math" w:cs="Century Gothic"/>
                            <w:i/>
                            <w:sz w:val="18"/>
                            <w:szCs w:val="18"/>
                          </w:rPr>
                        </m:ctrlPr>
                      </m:fPr>
                      <m:num>
                        <m:d>
                          <m:dPr>
                            <m:ctrlPr>
                              <w:rPr>
                                <w:rFonts w:ascii="Cambria Math" w:eastAsia="Century Gothic" w:hAnsi="Cambria Math" w:cs="Century Gothic"/>
                                <w:i/>
                                <w:sz w:val="18"/>
                                <w:szCs w:val="18"/>
                              </w:rPr>
                            </m:ctrlPr>
                          </m:dPr>
                          <m:e>
                            <m:r>
                              <w:rPr>
                                <w:rFonts w:ascii="Cambria Math" w:eastAsia="Century Gothic" w:hAnsi="Cambria Math" w:cs="Century Gothic"/>
                                <w:sz w:val="18"/>
                                <w:szCs w:val="18"/>
                              </w:rPr>
                              <m:t xml:space="preserve">y - </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rPr>
                                  <m:t>min</m:t>
                                </m:r>
                              </m:sub>
                            </m:sSub>
                          </m:e>
                        </m:d>
                      </m:num>
                      <m:den>
                        <m:d>
                          <m:dPr>
                            <m:ctrlPr>
                              <w:rPr>
                                <w:rFonts w:ascii="Cambria Math" w:eastAsia="Century Gothic" w:hAnsi="Cambria Math" w:cs="Century Gothic"/>
                                <w:i/>
                                <w:sz w:val="18"/>
                                <w:szCs w:val="18"/>
                              </w:rPr>
                            </m:ctrlPr>
                          </m:dPr>
                          <m:e>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rPr>
                                  <m:t>max</m:t>
                                </m:r>
                              </m:sub>
                            </m:sSub>
                            <m:r>
                              <w:rPr>
                                <w:rFonts w:ascii="Cambria Math" w:eastAsia="Century Gothic" w:hAnsi="Cambria Math" w:cs="Century Gothic"/>
                                <w:sz w:val="18"/>
                                <w:szCs w:val="18"/>
                              </w:rPr>
                              <m:t xml:space="preserve"> - </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rPr>
                                  <m:t>min</m:t>
                                </m:r>
                              </m:sub>
                            </m:sSub>
                          </m:e>
                        </m:d>
                      </m:den>
                    </m:f>
                    <m:r>
                      <w:rPr>
                        <w:rFonts w:ascii="Cambria Math" w:eastAsia="Century Gothic" w:hAnsi="Cambria Math" w:cs="Century Gothic"/>
                        <w:sz w:val="18"/>
                        <w:szCs w:val="18"/>
                      </w:rPr>
                      <m:t xml:space="preserve"> </m:t>
                    </m:r>
                    <m:d>
                      <m:dPr>
                        <m:ctrlPr>
                          <w:rPr>
                            <w:rFonts w:ascii="Cambria Math" w:eastAsia="Century Gothic" w:hAnsi="Cambria Math" w:cs="Century Gothic"/>
                            <w:i/>
                            <w:sz w:val="18"/>
                            <w:szCs w:val="18"/>
                          </w:rPr>
                        </m:ctrlPr>
                      </m:dPr>
                      <m:e>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rPr>
                              <m:t>newmax</m:t>
                            </m:r>
                          </m:sub>
                        </m:sSub>
                        <m:r>
                          <w:rPr>
                            <w:rFonts w:ascii="Cambria Math" w:eastAsia="Century Gothic" w:hAnsi="Cambria Math" w:cs="Century Gothic"/>
                            <w:sz w:val="18"/>
                            <w:szCs w:val="18"/>
                          </w:rPr>
                          <m:t>-</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rPr>
                              <m:t>newmin</m:t>
                            </m:r>
                          </m:sub>
                        </m:sSub>
                      </m:e>
                    </m:d>
                    <m:r>
                      <w:rPr>
                        <w:rFonts w:ascii="Cambria Math" w:eastAsia="Century Gothic" w:hAnsi="Cambria Math" w:cs="Century Gothic"/>
                        <w:sz w:val="18"/>
                        <w:szCs w:val="18"/>
                      </w:rPr>
                      <m:t>+</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rPr>
                          <m:t>newmin</m:t>
                        </m:r>
                      </m:sub>
                    </m:sSub>
                    <m:r>
                      <w:rPr>
                        <w:rFonts w:ascii="Cambria Math" w:eastAsia="Century Gothic" w:hAnsi="Cambria Math" w:cs="Century Gothic"/>
                        <w:sz w:val="18"/>
                        <w:szCs w:val="18"/>
                      </w:rPr>
                      <m:t>#</m:t>
                    </m:r>
                    <m:ctrlPr>
                      <w:rPr>
                        <w:rFonts w:ascii="Cambria Math" w:eastAsia="Century Gothic" w:hAnsi="Cambria Math" w:cs="Century Gothic"/>
                        <w:i/>
                        <w:iCs/>
                        <w:sz w:val="18"/>
                        <w:szCs w:val="18"/>
                      </w:rPr>
                    </m:ctrlPr>
                  </m:e>
                </m:eqArr>
              </m:oMath>
            </m:oMathPara>
          </w:p>
        </w:tc>
        <w:tc>
          <w:tcPr>
            <w:tcW w:w="589" w:type="dxa"/>
          </w:tcPr>
          <w:p w14:paraId="77C19505" w14:textId="339F9AF8" w:rsidR="00727A10" w:rsidRDefault="00727A10" w:rsidP="00D542B1">
            <w:pPr>
              <w:rPr>
                <w:rFonts w:ascii="Century Gothic" w:hAnsi="Century Gothic"/>
                <w:color w:val="000000"/>
                <w:sz w:val="18"/>
                <w:szCs w:val="18"/>
              </w:rPr>
            </w:pPr>
            <w:r>
              <w:rPr>
                <w:rFonts w:ascii="Century Gothic" w:hAnsi="Century Gothic"/>
                <w:color w:val="000000"/>
                <w:sz w:val="18"/>
                <w:szCs w:val="18"/>
              </w:rPr>
              <w:t>(8)</w:t>
            </w:r>
          </w:p>
        </w:tc>
      </w:tr>
    </w:tbl>
    <w:p w14:paraId="53148719" w14:textId="5E032AA6" w:rsidR="00BA2F75" w:rsidRPr="00BC5552" w:rsidRDefault="002E1769" w:rsidP="006E2E32">
      <w:pPr>
        <w:ind w:firstLine="284"/>
      </w:pPr>
      <w:r w:rsidRPr="002E1769">
        <w:rPr>
          <w:rFonts w:ascii="Century Gothic" w:eastAsia="Century Gothic" w:hAnsi="Century Gothic" w:cs="Century Gothic"/>
          <w:sz w:val="18"/>
          <w:szCs w:val="18"/>
        </w:rPr>
        <w:t xml:space="preserve">We identify the optimal hyperparameters </w:t>
      </w:r>
      <w:r w:rsidRPr="7CEE3623">
        <w:rPr>
          <w:rFonts w:ascii="Century Gothic" w:eastAsia="Century Gothic" w:hAnsi="Century Gothic" w:cs="Century Gothic"/>
          <w:i/>
          <w:iCs/>
          <w:sz w:val="18"/>
          <w:szCs w:val="18"/>
        </w:rPr>
        <w:t>C</w:t>
      </w:r>
      <w:r w:rsidRPr="7CEE3623">
        <w:rPr>
          <w:rFonts w:ascii="Century Gothic" w:eastAsia="Century Gothic" w:hAnsi="Century Gothic" w:cs="Century Gothic"/>
          <w:sz w:val="18"/>
          <w:szCs w:val="18"/>
        </w:rPr>
        <w:t xml:space="preserve">, </w:t>
      </w:r>
      <w:r w:rsidRPr="7CEE3623">
        <w:rPr>
          <w:rFonts w:ascii="Century Gothic" w:eastAsia="Century Gothic" w:hAnsi="Century Gothic" w:cs="Century Gothic"/>
          <w:i/>
          <w:iCs/>
          <w:sz w:val="18"/>
          <w:szCs w:val="18"/>
        </w:rPr>
        <w:t>ε</w:t>
      </w:r>
      <w:r w:rsidRPr="7CEE3623">
        <w:rPr>
          <w:rFonts w:ascii="Century Gothic" w:eastAsia="Century Gothic" w:hAnsi="Century Gothic" w:cs="Century Gothic"/>
          <w:sz w:val="18"/>
          <w:szCs w:val="18"/>
        </w:rPr>
        <w:t xml:space="preserve">, and </w:t>
      </w:r>
      <w:r w:rsidRPr="7CEE3623">
        <w:rPr>
          <w:rFonts w:ascii="Century Gothic" w:eastAsia="Century Gothic" w:hAnsi="Century Gothic" w:cs="Century Gothic"/>
          <w:i/>
          <w:iCs/>
          <w:sz w:val="18"/>
          <w:szCs w:val="18"/>
        </w:rPr>
        <w:t>γ</w:t>
      </w:r>
      <w:r w:rsidRPr="7CEE3623">
        <w:rPr>
          <w:rFonts w:ascii="Century Gothic" w:eastAsia="Century Gothic" w:hAnsi="Century Gothic" w:cs="Century Gothic"/>
          <w:sz w:val="18"/>
          <w:szCs w:val="18"/>
        </w:rPr>
        <w:t xml:space="preserve"> </w:t>
      </w:r>
      <w:r w:rsidRPr="002E1769">
        <w:rPr>
          <w:rFonts w:ascii="Century Gothic" w:eastAsia="Century Gothic" w:hAnsi="Century Gothic" w:cs="Century Gothic"/>
          <w:sz w:val="18"/>
          <w:szCs w:val="18"/>
        </w:rPr>
        <w:t xml:space="preserve">for every kernel using a structured grid search. This search maps across the joint hyperparameter space using 10-fold cross-validation. We apply a static random seed of 12345 to ensure the entire process remains strictly reproducible. The search algorithm actively minimizes the cross-validation mean squared error (CV-MSE). Once the process finishes, we extract the specific parameter combination that generates the absolute lowest CV-MSE and assign it as the final configuration for that kernel. Figure </w:t>
      </w:r>
      <w:r w:rsidR="002A3107">
        <w:rPr>
          <w:rFonts w:ascii="Century Gothic" w:eastAsia="Century Gothic" w:hAnsi="Century Gothic" w:cs="Century Gothic"/>
          <w:sz w:val="18"/>
          <w:szCs w:val="18"/>
        </w:rPr>
        <w:t>3</w:t>
      </w:r>
      <w:r w:rsidRPr="002E1769">
        <w:rPr>
          <w:rFonts w:ascii="Century Gothic" w:eastAsia="Century Gothic" w:hAnsi="Century Gothic" w:cs="Century Gothic"/>
          <w:sz w:val="18"/>
          <w:szCs w:val="18"/>
        </w:rPr>
        <w:t xml:space="preserve"> maps out this exact search landscape using a selection of representative hyperparameter pairs.</w:t>
      </w:r>
    </w:p>
    <w:p w14:paraId="2419CE32" w14:textId="056DF94B" w:rsidR="00BA2F75" w:rsidRPr="00BC5552" w:rsidRDefault="002E377C" w:rsidP="006E2E32">
      <w:pPr>
        <w:spacing w:before="120" w:after="60"/>
        <w:jc w:val="center"/>
      </w:pPr>
      <w:r>
        <w:rPr>
          <w:noProof/>
        </w:rPr>
        <w:drawing>
          <wp:inline distT="0" distB="0" distL="0" distR="0" wp14:anchorId="623633EB" wp14:editId="6537EEC4">
            <wp:extent cx="2284974" cy="3101975"/>
            <wp:effectExtent l="0" t="0" r="1270" b="0"/>
            <wp:docPr id="27318301" name="grid search landscape" descr="grid search landscape" title="grid search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44934" cy="3183374"/>
                    </a:xfrm>
                    <a:prstGeom prst="rect">
                      <a:avLst/>
                    </a:prstGeom>
                  </pic:spPr>
                </pic:pic>
              </a:graphicData>
            </a:graphic>
          </wp:inline>
        </w:drawing>
      </w:r>
    </w:p>
    <w:p w14:paraId="62106F5B" w14:textId="2B8CD811" w:rsidR="009C20F1" w:rsidRDefault="7CEE3623" w:rsidP="006E2E32">
      <w:pPr>
        <w:spacing w:before="60" w:after="240"/>
        <w:jc w:val="center"/>
        <w:rPr>
          <w:rFonts w:ascii="Century Gothic" w:eastAsia="Century Gothic" w:hAnsi="Century Gothic" w:cs="Century Gothic"/>
          <w:i/>
          <w:iCs/>
          <w:sz w:val="18"/>
          <w:szCs w:val="18"/>
        </w:rPr>
      </w:pPr>
      <w:r w:rsidRPr="7CEE3623">
        <w:rPr>
          <w:rFonts w:ascii="Century Gothic" w:eastAsia="Century Gothic" w:hAnsi="Century Gothic" w:cs="Century Gothic"/>
          <w:b/>
          <w:bCs/>
          <w:sz w:val="18"/>
          <w:szCs w:val="18"/>
        </w:rPr>
        <w:t xml:space="preserve">Figure </w:t>
      </w:r>
      <w:r w:rsidR="00BB3BD8">
        <w:rPr>
          <w:rFonts w:ascii="Century Gothic" w:eastAsia="Century Gothic" w:hAnsi="Century Gothic" w:cs="Century Gothic"/>
          <w:b/>
          <w:bCs/>
          <w:sz w:val="18"/>
          <w:szCs w:val="18"/>
        </w:rPr>
        <w:t>3</w:t>
      </w:r>
      <w:r w:rsidRPr="7CEE3623">
        <w:rPr>
          <w:rFonts w:ascii="Century Gothic" w:eastAsia="Century Gothic" w:hAnsi="Century Gothic" w:cs="Century Gothic"/>
          <w:b/>
          <w:bCs/>
          <w:sz w:val="18"/>
          <w:szCs w:val="18"/>
        </w:rPr>
        <w:t xml:space="preserve">. </w:t>
      </w:r>
      <w:r w:rsidR="009C20F1" w:rsidRPr="009C20F1">
        <w:rPr>
          <w:rFonts w:ascii="Century Gothic" w:eastAsia="Century Gothic" w:hAnsi="Century Gothic" w:cs="Century Gothic"/>
          <w:i/>
          <w:iCs/>
          <w:sz w:val="18"/>
          <w:szCs w:val="18"/>
        </w:rPr>
        <w:t xml:space="preserve">Hyperparameter grid search space for the SVRX model. </w:t>
      </w:r>
    </w:p>
    <w:p w14:paraId="1430BE5A" w14:textId="59A1AF07" w:rsidR="007346AA" w:rsidRDefault="007346AA" w:rsidP="006E2E32">
      <w:pPr>
        <w:rPr>
          <w:rFonts w:ascii="Century Gothic" w:eastAsia="Century Gothic" w:hAnsi="Century Gothic" w:cs="Century Gothic"/>
          <w:b/>
          <w:color w:val="943634"/>
          <w:sz w:val="18"/>
          <w:szCs w:val="18"/>
        </w:rPr>
      </w:pPr>
      <w:proofErr w:type="gramStart"/>
      <w:r w:rsidRPr="00E00D7C">
        <w:rPr>
          <w:rFonts w:ascii="Century Gothic" w:eastAsia="Century Gothic" w:hAnsi="Century Gothic" w:cs="Century Gothic"/>
          <w:b/>
          <w:color w:val="943634"/>
          <w:sz w:val="18"/>
          <w:szCs w:val="18"/>
        </w:rPr>
        <w:lastRenderedPageBreak/>
        <w:t>2.3.4  Integration</w:t>
      </w:r>
      <w:proofErr w:type="gramEnd"/>
      <w:r w:rsidRPr="00E00D7C">
        <w:rPr>
          <w:rFonts w:ascii="Century Gothic" w:eastAsia="Century Gothic" w:hAnsi="Century Gothic" w:cs="Century Gothic"/>
          <w:b/>
          <w:color w:val="943634"/>
          <w:sz w:val="18"/>
          <w:szCs w:val="18"/>
        </w:rPr>
        <w:t xml:space="preserve"> of the Intervention Dummy Variable</w:t>
      </w:r>
    </w:p>
    <w:p w14:paraId="3318CDF3" w14:textId="77777777" w:rsidR="00E00D7C" w:rsidRPr="00E00D7C" w:rsidRDefault="00E00D7C" w:rsidP="006E2E32">
      <w:pPr>
        <w:rPr>
          <w:color w:val="943634"/>
        </w:rPr>
      </w:pPr>
    </w:p>
    <w:p w14:paraId="0EFD6B16" w14:textId="2B01EE81" w:rsidR="000F687C" w:rsidRDefault="00FB36BB" w:rsidP="00F3357C">
      <w:pPr>
        <w:rPr>
          <w:rFonts w:ascii="Century Gothic" w:eastAsia="Century Gothic" w:hAnsi="Century Gothic" w:cs="Century Gothic"/>
          <w:sz w:val="18"/>
          <w:szCs w:val="18"/>
        </w:rPr>
      </w:pPr>
      <w:r w:rsidRPr="00FB36BB">
        <w:rPr>
          <w:rFonts w:ascii="Century Gothic" w:eastAsia="Century Gothic" w:hAnsi="Century Gothic" w:cs="Century Gothic"/>
          <w:sz w:val="18"/>
          <w:szCs w:val="18"/>
        </w:rPr>
        <w:t>Standard SVR treats every single observation equally within the kernel feature space. It entirely lacks a mechanism to separate data recorded before an intervention from data recorded after. When applied to a time series that experiences a permanent level shift, a traditional SVR model simply blends the distinct periods together. This forced blending produces a compromised global mapping that fails to accurately reflect either regime</w:t>
      </w:r>
      <w:r w:rsidR="00BB4057">
        <w:rPr>
          <w:rFonts w:ascii="Century Gothic" w:eastAsia="Century Gothic" w:hAnsi="Century Gothic" w:cs="Century Gothic"/>
          <w:sz w:val="18"/>
          <w:szCs w:val="18"/>
        </w:rPr>
        <w:t xml:space="preserve"> </w:t>
      </w:r>
      <w:r w:rsidR="00BB4057">
        <w:rPr>
          <w:rFonts w:ascii="Century Gothic" w:eastAsia="Century Gothic" w:hAnsi="Century Gothic" w:cs="Century Gothic"/>
          <w:sz w:val="18"/>
          <w:szCs w:val="18"/>
        </w:rPr>
        <w:fldChar w:fldCharType="begin" w:fldLock="1"/>
      </w:r>
      <w:r w:rsidR="00BB4057">
        <w:rPr>
          <w:rFonts w:ascii="Century Gothic" w:eastAsia="Century Gothic" w:hAnsi="Century Gothic" w:cs="Century Gothic"/>
          <w:sz w:val="18"/>
          <w:szCs w:val="18"/>
        </w:rPr>
        <w:instrText>ADDIN CSL_CITATION {"citationItems":[{"id":"ITEM-1","itemData":{"DOI":"10.3390/jrfm18090494","ISSN":"19118074","abstract":"The main objective of this study is to evaluate the predictive performance of traditional econometric models and deep learning techniques in forecasting financial volatility under structural breaks. Using daily data from four Latin American stock market indices between 2000 and 2024, we compare GARCH models with neural networks such as LSTM and CNN. Structural breaks are identified through a modified ICSS algorithm and incorporated into the GARCH framework via regime segmentation. The results show that neglecting breaks overstates volatility persistence and weakens predictive accuracy, while accounting for them improves GARCH forecasts only in specific cases. By contrast, deep learning models consistently outperform GARCH alternatives at medium- and long-term horizons, capturing nonlinear and time-varying dynamics more effectively. This study contributes to the literature by bridging econometric and deep learning approaches and offers practical insights for policymakers and investors in emerging markets facing recurrent structural instability.","author":[{"dropping-particle":"","family":"Chung","given":"Víctor","non-dropping-particle":"","parse-names":false,"suffix":""},{"dropping-particle":"","family":"Espinoza","given":"Jenny","non-dropping-particle":"","parse-names":false,"suffix":""},{"dropping-particle":"","family":"Quispe","given":"Renán","non-dropping-particle":"","parse-names":false,"suffix":""}],"container-title":"Journal of Risk and Financial Management","id":"ITEM-1","issue":"9","issued":{"date-parts":[["2025"]]},"page":"1-21","title":"Forecasting Financial Volatility Under Structural Breaks: A Comparative Study of GARCH Models and Deep Learning Techniques","type":"article-journal","volume":"18"},"uris":["http://www.mendeley.com/documents/?uuid=896d498e-46bf-4fcb-a409-c77d752b3285"]}],"mendeley":{"formattedCitation":"[25]","plainTextFormattedCitation":"[25]","previouslyFormattedCitation":"[25]"},"properties":{"noteIndex":0},"schema":"https://github.com/citation-style-language/schema/raw/master/csl-citation.json"}</w:instrText>
      </w:r>
      <w:r w:rsidR="00BB4057">
        <w:rPr>
          <w:rFonts w:ascii="Century Gothic" w:eastAsia="Century Gothic" w:hAnsi="Century Gothic" w:cs="Century Gothic"/>
          <w:sz w:val="18"/>
          <w:szCs w:val="18"/>
        </w:rPr>
        <w:fldChar w:fldCharType="separate"/>
      </w:r>
      <w:r w:rsidR="00BB4057" w:rsidRPr="00BB4057">
        <w:rPr>
          <w:rFonts w:ascii="Century Gothic" w:eastAsia="Century Gothic" w:hAnsi="Century Gothic" w:cs="Century Gothic"/>
          <w:noProof/>
          <w:sz w:val="18"/>
          <w:szCs w:val="18"/>
        </w:rPr>
        <w:t>[25]</w:t>
      </w:r>
      <w:r w:rsidR="00BB4057">
        <w:rPr>
          <w:rFonts w:ascii="Century Gothic" w:eastAsia="Century Gothic" w:hAnsi="Century Gothic" w:cs="Century Gothic"/>
          <w:sz w:val="18"/>
          <w:szCs w:val="18"/>
        </w:rPr>
        <w:fldChar w:fldCharType="end"/>
      </w:r>
      <w:r w:rsidR="00533850">
        <w:rPr>
          <w:rFonts w:ascii="Century Gothic" w:eastAsia="Century Gothic" w:hAnsi="Century Gothic" w:cs="Century Gothic"/>
          <w:sz w:val="18"/>
          <w:szCs w:val="18"/>
          <w:vertAlign w:val="superscript"/>
        </w:rPr>
        <w:t xml:space="preserve">. </w:t>
      </w:r>
      <w:r w:rsidRPr="00FB36BB">
        <w:rPr>
          <w:rFonts w:ascii="Century Gothic" w:eastAsia="Century Gothic" w:hAnsi="Century Gothic" w:cs="Century Gothic"/>
          <w:sz w:val="18"/>
          <w:szCs w:val="18"/>
        </w:rPr>
        <w:t>The SVRX framework completely resolves this issue. We fix the mapping problem by inserting a binary step function indicator directly into the input vecto</w:t>
      </w:r>
      <w:r w:rsidR="00A2708B">
        <w:rPr>
          <w:rFonts w:ascii="Century Gothic" w:eastAsia="Century Gothic" w:hAnsi="Century Gothic" w:cs="Century Gothic"/>
          <w:sz w:val="18"/>
          <w:szCs w:val="18"/>
        </w:rPr>
        <w:t>r</w:t>
      </w:r>
      <w:r w:rsidR="00BB4057">
        <w:rPr>
          <w:rFonts w:ascii="Century Gothic" w:eastAsia="Century Gothic" w:hAnsi="Century Gothic" w:cs="Century Gothic"/>
          <w:sz w:val="18"/>
          <w:szCs w:val="18"/>
        </w:rPr>
        <w:t xml:space="preserve"> </w:t>
      </w:r>
      <w:r w:rsidR="00BB4057">
        <w:rPr>
          <w:rFonts w:ascii="Century Gothic" w:eastAsia="Century Gothic" w:hAnsi="Century Gothic" w:cs="Century Gothic"/>
          <w:sz w:val="18"/>
          <w:szCs w:val="18"/>
        </w:rPr>
        <w:fldChar w:fldCharType="begin" w:fldLock="1"/>
      </w:r>
      <w:r w:rsidR="00BB4057">
        <w:rPr>
          <w:rFonts w:ascii="Century Gothic" w:eastAsia="Century Gothic" w:hAnsi="Century Gothic" w:cs="Century Gothic"/>
          <w:sz w:val="18"/>
          <w:szCs w:val="18"/>
        </w:rPr>
        <w:instrText>ADDIN CSL_CITATION {"citationItems":[{"id":"ITEM-1","itemData":{"DOI":"10.33545/2664844x.2025.v7.i12a.1023","ISSN":"2664844X","author":[{"dropping-particle":"","family":"Durga","given":"JNS Janaki","non-dropping-particle":"","parse-names":false,"suffix":""},{"dropping-particle":"","family":"Ramesh","given":"D","non-dropping-particle":"","parse-names":false,"suffix":""},{"dropping-particle":"","family":"Prakash","given":"K Kiran","non-dropping-particle":"","parse-names":false,"suffix":""},{"dropping-particle":"","family":"Kumar","given":"KN Ravi","non-dropping-particle":"","parse-names":false,"suffix":""}],"container-title":"International Journal of Agriculture and Food Science","id":"ITEM-1","issue":"12","issued":{"date-parts":[["2025"]]},"page":"36-43","title":"A comparative study of time series approaches for cotton price forecasting in Adoni market of Andhra Pradesh","type":"article-journal","volume":"7"},"uris":["http://www.mendeley.com/documents/?uuid=f8b20960-1cb4-4157-9661-f7b5da05bcc1"]}],"mendeley":{"formattedCitation":"[26]","plainTextFormattedCitation":"[26]","previouslyFormattedCitation":"[26]"},"properties":{"noteIndex":0},"schema":"https://github.com/citation-style-language/schema/raw/master/csl-citation.json"}</w:instrText>
      </w:r>
      <w:r w:rsidR="00BB4057">
        <w:rPr>
          <w:rFonts w:ascii="Century Gothic" w:eastAsia="Century Gothic" w:hAnsi="Century Gothic" w:cs="Century Gothic"/>
          <w:sz w:val="18"/>
          <w:szCs w:val="18"/>
        </w:rPr>
        <w:fldChar w:fldCharType="separate"/>
      </w:r>
      <w:r w:rsidR="00BB4057" w:rsidRPr="00BB4057">
        <w:rPr>
          <w:rFonts w:ascii="Century Gothic" w:eastAsia="Century Gothic" w:hAnsi="Century Gothic" w:cs="Century Gothic"/>
          <w:noProof/>
          <w:sz w:val="18"/>
          <w:szCs w:val="18"/>
        </w:rPr>
        <w:t>[26]</w:t>
      </w:r>
      <w:r w:rsidR="00BB4057">
        <w:rPr>
          <w:rFonts w:ascii="Century Gothic" w:eastAsia="Century Gothic" w:hAnsi="Century Gothic" w:cs="Century Gothic"/>
          <w:sz w:val="18"/>
          <w:szCs w:val="18"/>
        </w:rPr>
        <w:fldChar w:fldCharType="end"/>
      </w:r>
      <w:r w:rsidRPr="00FB36BB">
        <w:rPr>
          <w:rFonts w:ascii="Century Gothic" w:eastAsia="Century Gothic" w:hAnsi="Century Gothic" w:cs="Century Gothic"/>
          <w:sz w:val="18"/>
          <w:szCs w:val="18"/>
        </w:rPr>
        <w:t>:</w:t>
      </w:r>
    </w:p>
    <w:tbl>
      <w:tblPr>
        <w:tblW w:w="4820" w:type="dxa"/>
        <w:tblLook w:val="04A0" w:firstRow="1" w:lastRow="0" w:firstColumn="1" w:lastColumn="0" w:noHBand="0" w:noVBand="1"/>
      </w:tblPr>
      <w:tblGrid>
        <w:gridCol w:w="4231"/>
        <w:gridCol w:w="589"/>
      </w:tblGrid>
      <w:tr w:rsidR="000F687C" w14:paraId="4088B7D1" w14:textId="77777777" w:rsidTr="00D542B1">
        <w:tc>
          <w:tcPr>
            <w:tcW w:w="4231" w:type="dxa"/>
          </w:tcPr>
          <w:p w14:paraId="61B75F56" w14:textId="2B4C22DB" w:rsidR="000F687C" w:rsidRPr="00727A10" w:rsidRDefault="00000000" w:rsidP="00D542B1">
            <w:pPr>
              <w:spacing w:after="55"/>
              <w:rPr>
                <w:rFonts w:ascii="Century Gothic" w:hAnsi="Century Gothic"/>
                <w:sz w:val="18"/>
                <w:szCs w:val="18"/>
              </w:rPr>
            </w:pPr>
            <m:oMathPara>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ŷ</m:t>
                    </m:r>
                  </m:e>
                  <m:sub>
                    <m:r>
                      <w:rPr>
                        <w:rFonts w:ascii="Cambria Math" w:eastAsia="Century Gothic" w:hAnsi="Cambria Math" w:cs="Century Gothic"/>
                        <w:sz w:val="18"/>
                        <w:szCs w:val="18"/>
                        <w:vertAlign w:val="subscript"/>
                      </w:rPr>
                      <m:t>t</m:t>
                    </m:r>
                  </m:sub>
                </m:sSub>
                <m:r>
                  <w:rPr>
                    <w:rFonts w:ascii="Cambria Math" w:eastAsia="Century Gothic" w:hAnsi="Cambria Math" w:cs="Century Gothic"/>
                    <w:sz w:val="18"/>
                    <w:szCs w:val="18"/>
                  </w:rPr>
                  <m:t xml:space="preserve">  =  f</m:t>
                </m:r>
                <m:d>
                  <m:dPr>
                    <m:ctrlPr>
                      <w:rPr>
                        <w:rFonts w:ascii="Cambria Math" w:eastAsia="Century Gothic" w:hAnsi="Cambria Math" w:cs="Century Gothic"/>
                        <w:i/>
                        <w:sz w:val="18"/>
                        <w:szCs w:val="18"/>
                      </w:rPr>
                    </m:ctrlPr>
                  </m:dPr>
                  <m:e>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x</m:t>
                        </m:r>
                      </m:e>
                      <m:sub>
                        <m:r>
                          <w:rPr>
                            <w:rFonts w:ascii="Cambria Math" w:eastAsia="Century Gothic" w:hAnsi="Cambria Math" w:cs="Century Gothic"/>
                            <w:sz w:val="18"/>
                            <w:szCs w:val="18"/>
                            <w:vertAlign w:val="subscript"/>
                          </w:rPr>
                          <m:t>t</m:t>
                        </m:r>
                      </m:sub>
                    </m:sSub>
                    <m:r>
                      <w:rPr>
                        <w:rFonts w:ascii="Cambria Math" w:eastAsia="Century Gothic" w:hAnsi="Cambria Math" w:cs="Century Gothic"/>
                        <w:sz w:val="18"/>
                        <w:szCs w:val="18"/>
                      </w:rPr>
                      <m:t>,</m:t>
                    </m:r>
                    <m:r>
                      <w:rPr>
                        <w:rFonts w:ascii="Cambria Math" w:eastAsia="Arial" w:hAnsi="Cambria Math" w:cs="Arial"/>
                        <w:sz w:val="18"/>
                        <w:szCs w:val="18"/>
                      </w:rPr>
                      <m:t> </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z</m:t>
                        </m:r>
                      </m:e>
                      <m:sub>
                        <m:r>
                          <w:rPr>
                            <w:rFonts w:ascii="Cambria Math" w:eastAsia="Century Gothic" w:hAnsi="Cambria Math" w:cs="Century Gothic"/>
                            <w:sz w:val="18"/>
                            <w:szCs w:val="18"/>
                            <w:vertAlign w:val="subscript"/>
                          </w:rPr>
                          <m:t>t</m:t>
                        </m:r>
                      </m:sub>
                    </m:sSub>
                  </m:e>
                </m:d>
                <m:r>
                  <w:rPr>
                    <w:rFonts w:ascii="Cambria Math" w:eastAsia="Century Gothic" w:hAnsi="Cambria Math" w:cs="Century Gothic"/>
                    <w:sz w:val="18"/>
                    <w:szCs w:val="18"/>
                  </w:rPr>
                  <m:t xml:space="preserve"> +  </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ε</m:t>
                    </m:r>
                  </m:e>
                  <m:sub>
                    <m:r>
                      <w:rPr>
                        <w:rFonts w:ascii="Cambria Math" w:eastAsia="Century Gothic" w:hAnsi="Cambria Math" w:cs="Century Gothic"/>
                        <w:sz w:val="18"/>
                        <w:szCs w:val="18"/>
                        <w:vertAlign w:val="subscript"/>
                      </w:rPr>
                      <m:t>t</m:t>
                    </m:r>
                  </m:sub>
                </m:sSub>
              </m:oMath>
            </m:oMathPara>
          </w:p>
        </w:tc>
        <w:tc>
          <w:tcPr>
            <w:tcW w:w="589" w:type="dxa"/>
          </w:tcPr>
          <w:p w14:paraId="52D13FC8" w14:textId="3F71EF20" w:rsidR="000F687C" w:rsidRDefault="000F687C" w:rsidP="00D542B1">
            <w:pPr>
              <w:rPr>
                <w:rFonts w:ascii="Century Gothic" w:hAnsi="Century Gothic"/>
                <w:color w:val="000000"/>
                <w:sz w:val="18"/>
                <w:szCs w:val="18"/>
              </w:rPr>
            </w:pPr>
            <w:r>
              <w:rPr>
                <w:rFonts w:ascii="Century Gothic" w:hAnsi="Century Gothic"/>
                <w:color w:val="000000"/>
                <w:sz w:val="18"/>
                <w:szCs w:val="18"/>
              </w:rPr>
              <w:t>(9)</w:t>
            </w:r>
          </w:p>
        </w:tc>
      </w:tr>
    </w:tbl>
    <w:p w14:paraId="3656C422" w14:textId="0B4774BB" w:rsidR="007346AA" w:rsidRDefault="00D54ED4" w:rsidP="006E2E32">
      <w:pPr>
        <w:ind w:firstLine="284"/>
        <w:rPr>
          <w:rFonts w:ascii="Century Gothic" w:eastAsia="Century Gothic" w:hAnsi="Century Gothic" w:cs="Century Gothic"/>
          <w:sz w:val="18"/>
          <w:szCs w:val="18"/>
        </w:rPr>
      </w:pPr>
      <w:r w:rsidRPr="00D54ED4">
        <w:rPr>
          <w:rFonts w:ascii="Century Gothic" w:eastAsia="Century Gothic" w:hAnsi="Century Gothic" w:cs="Century Gothic"/>
          <w:sz w:val="18"/>
          <w:szCs w:val="18"/>
        </w:rPr>
        <w:t xml:space="preserve">In this formula, </w:t>
      </w:r>
      <m:oMath>
        <m:r>
          <w:rPr>
            <w:rFonts w:ascii="Cambria Math" w:eastAsia="Century Gothic" w:hAnsi="Cambria Math" w:cs="Century Gothic"/>
            <w:sz w:val="18"/>
            <w:szCs w:val="18"/>
          </w:rPr>
          <m:t>x</m:t>
        </m:r>
        <m:r>
          <w:rPr>
            <w:rFonts w:ascii="Cambria Math" w:eastAsia="Century Gothic" w:hAnsi="Cambria Math" w:cs="Century Gothic"/>
            <w:sz w:val="18"/>
            <w:szCs w:val="18"/>
            <w:vertAlign w:val="subscript"/>
          </w:rPr>
          <m:t>t</m:t>
        </m:r>
        <m:r>
          <w:rPr>
            <w:rFonts w:ascii="Cambria Math" w:eastAsia="Century Gothic" w:hAnsi="Cambria Math" w:cs="Century Gothic"/>
            <w:sz w:val="18"/>
            <w:szCs w:val="18"/>
          </w:rPr>
          <m:t xml:space="preserve"> = </m:t>
        </m:r>
        <m:sSup>
          <m:sSupPr>
            <m:ctrlPr>
              <w:rPr>
                <w:rFonts w:ascii="Cambria Math" w:eastAsia="Century Gothic" w:hAnsi="Cambria Math" w:cs="Century Gothic"/>
                <w:i/>
                <w:sz w:val="18"/>
                <w:szCs w:val="18"/>
                <w:vertAlign w:val="superscript"/>
              </w:rPr>
            </m:ctrlPr>
          </m:sSupPr>
          <m:e>
            <m:d>
              <m:dPr>
                <m:begChr m:val="["/>
                <m:endChr m:val="]"/>
                <m:ctrlPr>
                  <w:rPr>
                    <w:rFonts w:ascii="Cambria Math" w:eastAsia="Century Gothic" w:hAnsi="Cambria Math" w:cs="Century Gothic"/>
                    <w:i/>
                    <w:sz w:val="18"/>
                    <w:szCs w:val="18"/>
                  </w:rPr>
                </m:ctrlPr>
              </m:dPr>
              <m:e>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vertAlign w:val="subscript"/>
                      </w:rPr>
                      <m:t>t</m:t>
                    </m:r>
                  </m:sub>
                </m:sSub>
                <m:r>
                  <w:rPr>
                    <w:rFonts w:ascii="Cambria Math" w:eastAsia="Century Gothic" w:hAnsi="Cambria Math" w:cs="Century Gothic"/>
                    <w:sz w:val="18"/>
                    <w:szCs w:val="18"/>
                    <w:vertAlign w:val="subscript"/>
                  </w:rPr>
                  <m:t>-1</m:t>
                </m:r>
              </m:e>
            </m:d>
            <m:ctrlPr>
              <w:rPr>
                <w:rFonts w:ascii="Cambria Math" w:eastAsia="Century Gothic" w:hAnsi="Cambria Math" w:cs="Century Gothic"/>
                <w:i/>
                <w:sz w:val="18"/>
                <w:szCs w:val="18"/>
              </w:rPr>
            </m:ctrlPr>
          </m:e>
          <m:sup>
            <m:r>
              <w:rPr>
                <w:rFonts w:ascii="Cambria Math" w:eastAsia="Century Gothic" w:hAnsi="Cambria Math" w:cs="Century Gothic"/>
                <w:sz w:val="18"/>
                <w:szCs w:val="18"/>
                <w:vertAlign w:val="superscript"/>
              </w:rPr>
              <m:t>T</m:t>
            </m:r>
          </m:sup>
        </m:sSup>
      </m:oMath>
      <w:r w:rsidRPr="7CEE3623">
        <w:rPr>
          <w:rFonts w:ascii="Century Gothic" w:eastAsia="Century Gothic" w:hAnsi="Century Gothic" w:cs="Century Gothic"/>
          <w:sz w:val="18"/>
          <w:szCs w:val="18"/>
        </w:rPr>
        <w:t xml:space="preserve"> </w:t>
      </w:r>
      <w:r w:rsidRPr="00D54ED4">
        <w:rPr>
          <w:rFonts w:ascii="Century Gothic" w:eastAsia="Century Gothic" w:hAnsi="Century Gothic" w:cs="Century Gothic"/>
          <w:sz w:val="18"/>
          <w:szCs w:val="18"/>
        </w:rPr>
        <w:t xml:space="preserve">serves as the lagged endogenous input. The variable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z</m:t>
            </m:r>
          </m:e>
          <m:sub>
            <m:r>
              <w:rPr>
                <w:rFonts w:ascii="Cambria Math" w:eastAsia="Century Gothic" w:hAnsi="Cambria Math" w:cs="Century Gothic"/>
                <w:sz w:val="18"/>
                <w:szCs w:val="18"/>
                <w:vertAlign w:val="subscript"/>
              </w:rPr>
              <m:t>t</m:t>
            </m:r>
          </m:sub>
        </m:sSub>
      </m:oMath>
      <w:r w:rsidR="00652F24">
        <w:rPr>
          <w:rFonts w:ascii="Century Gothic" w:eastAsia="Century Gothic" w:hAnsi="Century Gothic" w:cs="Century Gothic"/>
          <w:sz w:val="18"/>
          <w:szCs w:val="18"/>
        </w:rPr>
        <w:t xml:space="preserve"> </w:t>
      </w:r>
      <w:r w:rsidRPr="00D54ED4">
        <w:rPr>
          <w:rFonts w:ascii="Century Gothic" w:eastAsia="Century Gothic" w:hAnsi="Century Gothic" w:cs="Century Gothic"/>
          <w:sz w:val="18"/>
          <w:szCs w:val="18"/>
        </w:rPr>
        <w:t xml:space="preserve">represents the modified exogenous input vector, while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ε</m:t>
            </m:r>
          </m:e>
          <m:sub>
            <m:r>
              <w:rPr>
                <w:rFonts w:ascii="Cambria Math" w:eastAsia="Century Gothic" w:hAnsi="Cambria Math" w:cs="Century Gothic"/>
                <w:sz w:val="18"/>
                <w:szCs w:val="18"/>
                <w:vertAlign w:val="subscript"/>
              </w:rPr>
              <m:t>t</m:t>
            </m:r>
          </m:sub>
        </m:sSub>
      </m:oMath>
      <w:r w:rsidRPr="00D54ED4">
        <w:rPr>
          <w:rFonts w:ascii="Century Gothic" w:eastAsia="Century Gothic" w:hAnsi="Century Gothic" w:cs="Century Gothic"/>
          <w:sz w:val="18"/>
          <w:szCs w:val="18"/>
        </w:rPr>
        <w:t xml:space="preserve"> captures the standard error term.</w:t>
      </w:r>
    </w:p>
    <w:tbl>
      <w:tblPr>
        <w:tblW w:w="4820" w:type="dxa"/>
        <w:tblLook w:val="04A0" w:firstRow="1" w:lastRow="0" w:firstColumn="1" w:lastColumn="0" w:noHBand="0" w:noVBand="1"/>
      </w:tblPr>
      <w:tblGrid>
        <w:gridCol w:w="4231"/>
        <w:gridCol w:w="589"/>
      </w:tblGrid>
      <w:tr w:rsidR="000F687C" w14:paraId="7F661ABA" w14:textId="77777777" w:rsidTr="00D542B1">
        <w:tc>
          <w:tcPr>
            <w:tcW w:w="4231" w:type="dxa"/>
          </w:tcPr>
          <w:p w14:paraId="06EC0A17" w14:textId="38974C5F" w:rsidR="000F687C" w:rsidRPr="00727A10" w:rsidRDefault="000F687C" w:rsidP="00D542B1">
            <w:pPr>
              <w:spacing w:after="55"/>
              <w:rPr>
                <w:rFonts w:ascii="Century Gothic" w:hAnsi="Century Gothic"/>
                <w:sz w:val="18"/>
                <w:szCs w:val="18"/>
              </w:rPr>
            </w:pPr>
            <m:oMathPara>
              <m:oMath>
                <m:r>
                  <w:rPr>
                    <w:rFonts w:ascii="Cambria Math" w:eastAsia="Century Gothic" w:hAnsi="Cambria Math" w:cs="Century Gothic"/>
                    <w:sz w:val="18"/>
                    <w:szCs w:val="18"/>
                  </w:rPr>
                  <m:t>X</m:t>
                </m:r>
                <m:r>
                  <w:rPr>
                    <w:rFonts w:ascii="Cambria Math" w:eastAsia="Century Gothic" w:hAnsi="Cambria Math" w:cs="Century Gothic"/>
                    <w:sz w:val="18"/>
                    <w:szCs w:val="18"/>
                    <w:vertAlign w:val="subscript"/>
                  </w:rPr>
                  <m:t>t</m:t>
                </m:r>
                <m:r>
                  <w:rPr>
                    <w:rFonts w:ascii="Cambria Math" w:eastAsia="Century Gothic" w:hAnsi="Cambria Math" w:cs="Century Gothic"/>
                    <w:sz w:val="18"/>
                    <w:szCs w:val="18"/>
                  </w:rPr>
                  <m:t xml:space="preserve">  =  0,     t &lt; T</m:t>
                </m:r>
              </m:oMath>
            </m:oMathPara>
          </w:p>
        </w:tc>
        <w:tc>
          <w:tcPr>
            <w:tcW w:w="589" w:type="dxa"/>
          </w:tcPr>
          <w:p w14:paraId="284BCF8D" w14:textId="3AB27938" w:rsidR="000F687C" w:rsidRDefault="000F687C" w:rsidP="00D542B1">
            <w:pPr>
              <w:rPr>
                <w:rFonts w:ascii="Century Gothic" w:hAnsi="Century Gothic"/>
                <w:color w:val="000000"/>
                <w:sz w:val="18"/>
                <w:szCs w:val="18"/>
              </w:rPr>
            </w:pPr>
            <w:r>
              <w:rPr>
                <w:rFonts w:ascii="Century Gothic" w:hAnsi="Century Gothic"/>
                <w:color w:val="000000"/>
                <w:sz w:val="18"/>
                <w:szCs w:val="18"/>
              </w:rPr>
              <w:t>(10)</w:t>
            </w:r>
          </w:p>
        </w:tc>
      </w:tr>
      <w:tr w:rsidR="000F687C" w14:paraId="29937E83" w14:textId="77777777" w:rsidTr="000F687C">
        <w:tc>
          <w:tcPr>
            <w:tcW w:w="4231" w:type="dxa"/>
          </w:tcPr>
          <w:p w14:paraId="562CA826" w14:textId="2E2254E7" w:rsidR="000F687C" w:rsidRPr="000F687C" w:rsidRDefault="000F687C" w:rsidP="00D542B1">
            <w:pPr>
              <w:spacing w:after="55"/>
              <w:rPr>
                <w:rFonts w:ascii="Cambria Math" w:eastAsia="Century Gothic" w:hAnsi="Cambria Math" w:cs="Century Gothic"/>
                <w:sz w:val="18"/>
                <w:szCs w:val="18"/>
                <w:oMath/>
              </w:rPr>
            </w:pPr>
            <m:oMathPara>
              <m:oMath>
                <m:r>
                  <w:rPr>
                    <w:rFonts w:ascii="Cambria Math" w:eastAsia="Century Gothic" w:hAnsi="Cambria Math" w:cs="Century Gothic"/>
                    <w:sz w:val="18"/>
                    <w:szCs w:val="18"/>
                  </w:rPr>
                  <m:t>X</m:t>
                </m:r>
                <m:r>
                  <w:rPr>
                    <w:rFonts w:ascii="Cambria Math" w:eastAsia="Century Gothic" w:hAnsi="Cambria Math" w:cs="Century Gothic"/>
                    <w:sz w:val="18"/>
                    <w:szCs w:val="18"/>
                    <w:vertAlign w:val="subscript"/>
                  </w:rPr>
                  <m:t>t</m:t>
                </m:r>
                <m:r>
                  <w:rPr>
                    <w:rFonts w:ascii="Cambria Math" w:eastAsia="Century Gothic" w:hAnsi="Cambria Math" w:cs="Century Gothic"/>
                    <w:sz w:val="18"/>
                    <w:szCs w:val="18"/>
                  </w:rPr>
                  <m:t xml:space="preserve">  =  1,     t ≥ T</m:t>
                </m:r>
                <m:r>
                  <w:rPr>
                    <w:rFonts w:ascii="Cambria Math" w:hAnsi="Cambria Math"/>
                  </w:rPr>
                  <m:t xml:space="preserve"> </m:t>
                </m:r>
              </m:oMath>
            </m:oMathPara>
          </w:p>
        </w:tc>
        <w:tc>
          <w:tcPr>
            <w:tcW w:w="589" w:type="dxa"/>
          </w:tcPr>
          <w:p w14:paraId="0A3B8CC1" w14:textId="2C3CFB04" w:rsidR="000F687C" w:rsidRDefault="000F687C" w:rsidP="00D542B1">
            <w:pPr>
              <w:rPr>
                <w:rFonts w:ascii="Century Gothic" w:hAnsi="Century Gothic"/>
                <w:color w:val="000000"/>
                <w:sz w:val="18"/>
                <w:szCs w:val="18"/>
              </w:rPr>
            </w:pPr>
            <w:r>
              <w:rPr>
                <w:rFonts w:ascii="Century Gothic" w:hAnsi="Century Gothic"/>
                <w:color w:val="000000"/>
                <w:sz w:val="18"/>
                <w:szCs w:val="18"/>
              </w:rPr>
              <w:t>(11)</w:t>
            </w:r>
          </w:p>
        </w:tc>
      </w:tr>
    </w:tbl>
    <w:p w14:paraId="78A8FC1C" w14:textId="73928D55" w:rsidR="00AF56F3" w:rsidRDefault="007346AA" w:rsidP="006E2E32">
      <w:pPr>
        <w:ind w:firstLine="284"/>
      </w:pPr>
      <w:r w:rsidRPr="7CEE3623">
        <w:rPr>
          <w:rFonts w:ascii="Century Gothic" w:eastAsia="Century Gothic" w:hAnsi="Century Gothic" w:cs="Century Gothic"/>
          <w:sz w:val="18"/>
          <w:szCs w:val="18"/>
        </w:rPr>
        <w:t xml:space="preserve">where </w:t>
      </w:r>
      <w:r w:rsidRPr="7CEE3623">
        <w:rPr>
          <w:rFonts w:ascii="Century Gothic" w:eastAsia="Century Gothic" w:hAnsi="Century Gothic" w:cs="Century Gothic"/>
          <w:i/>
          <w:sz w:val="18"/>
          <w:szCs w:val="18"/>
        </w:rPr>
        <w:t>T</w:t>
      </w:r>
      <w:r w:rsidRPr="7CEE3623">
        <w:rPr>
          <w:rFonts w:ascii="Century Gothic" w:eastAsia="Century Gothic" w:hAnsi="Century Gothic" w:cs="Century Gothic"/>
          <w:sz w:val="18"/>
          <w:szCs w:val="18"/>
        </w:rPr>
        <w:t xml:space="preserve"> is the known intervention time point (the first observation under the export restriction). The complete input vector for each observation</w:t>
      </w:r>
      <m:oMath>
        <m:r>
          <w:rPr>
            <w:rFonts w:ascii="Cambria Math" w:eastAsia="Century Gothic" w:hAnsi="Cambria Math" w:cs="Century Gothic"/>
            <w:sz w:val="18"/>
            <w:szCs w:val="18"/>
          </w:rPr>
          <m:t xml:space="preserve"> t</m:t>
        </m:r>
      </m:oMath>
      <w:r w:rsidRPr="7CEE3623">
        <w:rPr>
          <w:rFonts w:ascii="Century Gothic" w:eastAsia="Century Gothic" w:hAnsi="Century Gothic" w:cs="Century Gothic"/>
          <w:sz w:val="18"/>
          <w:szCs w:val="18"/>
        </w:rPr>
        <w:t xml:space="preserve"> is </w:t>
      </w:r>
      <m:oMath>
        <m:d>
          <m:dPr>
            <m:begChr m:val="["/>
            <m:endChr m:val="]"/>
            <m:ctrlPr>
              <w:rPr>
                <w:rFonts w:ascii="Cambria Math" w:eastAsia="Century Gothic" w:hAnsi="Cambria Math" w:cs="Century Gothic"/>
                <w:i/>
                <w:sz w:val="18"/>
                <w:szCs w:val="18"/>
              </w:rPr>
            </m:ctrlPr>
          </m:dPr>
          <m:e>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r>
                  <w:rPr>
                    <w:rFonts w:ascii="Cambria Math" w:eastAsia="Century Gothic" w:hAnsi="Cambria Math" w:cs="Century Gothic"/>
                    <w:sz w:val="18"/>
                    <w:szCs w:val="18"/>
                    <w:vertAlign w:val="subscript"/>
                  </w:rPr>
                  <m:t>t</m:t>
                </m:r>
              </m:sub>
            </m:sSub>
            <m:r>
              <w:rPr>
                <w:rFonts w:ascii="Cambria Math" w:eastAsia="Century Gothic" w:hAnsi="Cambria Math" w:cs="Century Gothic"/>
                <w:sz w:val="18"/>
                <w:szCs w:val="18"/>
                <w:vertAlign w:val="subscript"/>
              </w:rPr>
              <m:t>-1</m:t>
            </m:r>
            <m:r>
              <w:rPr>
                <w:rFonts w:ascii="Cambria Math" w:eastAsia="Century Gothic" w:hAnsi="Cambria Math" w:cs="Century Gothic"/>
                <w:sz w:val="18"/>
                <w:szCs w:val="18"/>
              </w:rPr>
              <m:t xml:space="preserve">, </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X</m:t>
                </m:r>
              </m:e>
              <m:sub>
                <m:r>
                  <w:rPr>
                    <w:rFonts w:ascii="Cambria Math" w:eastAsia="Century Gothic" w:hAnsi="Cambria Math" w:cs="Century Gothic"/>
                    <w:sz w:val="18"/>
                    <w:szCs w:val="18"/>
                    <w:vertAlign w:val="subscript"/>
                  </w:rPr>
                  <m:t>t</m:t>
                </m:r>
              </m:sub>
            </m:sSub>
          </m:e>
        </m:d>
      </m:oMath>
      <w:r w:rsidRPr="7CEE3623">
        <w:rPr>
          <w:rFonts w:ascii="Century Gothic" w:eastAsia="Century Gothic" w:hAnsi="Century Gothic" w:cs="Century Gothic"/>
          <w:sz w:val="18"/>
          <w:szCs w:val="18"/>
        </w:rPr>
        <w:t xml:space="preserve">. By entering </w:t>
      </w:r>
      <m:oMath>
        <m:r>
          <w:rPr>
            <w:rFonts w:ascii="Cambria Math" w:eastAsia="Century Gothic" w:hAnsi="Cambria Math" w:cs="Century Gothic"/>
            <w:sz w:val="18"/>
            <w:szCs w:val="18"/>
          </w:rPr>
          <m:t>X</m:t>
        </m:r>
        <m:r>
          <w:rPr>
            <w:rFonts w:ascii="Cambria Math" w:eastAsia="Century Gothic" w:hAnsi="Cambria Math" w:cs="Century Gothic"/>
            <w:sz w:val="18"/>
            <w:szCs w:val="18"/>
            <w:vertAlign w:val="subscript"/>
          </w:rPr>
          <m:t>t</m:t>
        </m:r>
      </m:oMath>
      <w:r w:rsidRPr="7CEE3623">
        <w:rPr>
          <w:rFonts w:ascii="Century Gothic" w:eastAsia="Century Gothic" w:hAnsi="Century Gothic" w:cs="Century Gothic"/>
          <w:sz w:val="18"/>
          <w:szCs w:val="18"/>
        </w:rPr>
        <w:t xml:space="preserve"> into the kernel computation in Eq. (3), SVRX causes the kernel to evaluate similarity jointly over both lagged price dynamics and regime membership. Observation pairs drawn from opposite regimes are projected farther apart in the feature space than same-regime pairs with comparable lagged values, enabling the model to learn distinct nonlinear response surfaces for the pre- and post-intervention periods simultaneously within a single unified architecture. Figure </w:t>
      </w:r>
      <w:r w:rsidR="002A3107">
        <w:rPr>
          <w:rFonts w:ascii="Century Gothic" w:eastAsia="Century Gothic" w:hAnsi="Century Gothic" w:cs="Century Gothic"/>
          <w:sz w:val="18"/>
          <w:szCs w:val="18"/>
        </w:rPr>
        <w:t>4</w:t>
      </w:r>
      <w:r w:rsidRPr="7CEE3623">
        <w:rPr>
          <w:rFonts w:ascii="Century Gothic" w:eastAsia="Century Gothic" w:hAnsi="Century Gothic" w:cs="Century Gothic"/>
          <w:sz w:val="18"/>
          <w:szCs w:val="18"/>
        </w:rPr>
        <w:t xml:space="preserve"> illustrates the input pipeline.</w:t>
      </w:r>
    </w:p>
    <w:p w14:paraId="39967A66" w14:textId="4B077890" w:rsidR="007346AA" w:rsidRPr="00BC5552" w:rsidRDefault="1D5C1FEB" w:rsidP="006E2E32">
      <w:pPr>
        <w:jc w:val="center"/>
      </w:pPr>
      <w:r>
        <w:rPr>
          <w:noProof/>
        </w:rPr>
        <w:drawing>
          <wp:inline distT="0" distB="0" distL="0" distR="0" wp14:anchorId="2207EEC1" wp14:editId="58FDF0A7">
            <wp:extent cx="2447051" cy="2917371"/>
            <wp:effectExtent l="0" t="0" r="4445" b="3810"/>
            <wp:docPr id="57846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6019" name="Picture 57846019"/>
                    <pic:cNvPicPr/>
                  </pic:nvPicPr>
                  <pic:blipFill rotWithShape="1">
                    <a:blip r:embed="rId21">
                      <a:extLst>
                        <a:ext uri="{28A0092B-C50C-407E-A947-70E740481C1C}">
                          <a14:useLocalDpi xmlns:a14="http://schemas.microsoft.com/office/drawing/2010/main"/>
                        </a:ext>
                      </a:extLst>
                    </a:blip>
                    <a:srcRect l="12875" t="4571"/>
                    <a:stretch>
                      <a:fillRect/>
                    </a:stretch>
                  </pic:blipFill>
                  <pic:spPr bwMode="auto">
                    <a:xfrm>
                      <a:off x="0" y="0"/>
                      <a:ext cx="2525035" cy="3010343"/>
                    </a:xfrm>
                    <a:prstGeom prst="rect">
                      <a:avLst/>
                    </a:prstGeom>
                    <a:ln>
                      <a:noFill/>
                    </a:ln>
                    <a:extLst>
                      <a:ext uri="{53640926-AAD7-44D8-BBD7-CCE9431645EC}">
                        <a14:shadowObscured xmlns:a14="http://schemas.microsoft.com/office/drawing/2010/main"/>
                      </a:ext>
                    </a:extLst>
                  </pic:spPr>
                </pic:pic>
              </a:graphicData>
            </a:graphic>
          </wp:inline>
        </w:drawing>
      </w:r>
    </w:p>
    <w:p w14:paraId="6C71F76D" w14:textId="207274AD" w:rsidR="002139CA" w:rsidRDefault="007346AA" w:rsidP="006E2E32">
      <w:pPr>
        <w:jc w:val="center"/>
        <w:rPr>
          <w:rFonts w:ascii="Century Gothic" w:eastAsia="Century Gothic" w:hAnsi="Century Gothic" w:cs="Century Gothic"/>
          <w:sz w:val="18"/>
          <w:szCs w:val="18"/>
        </w:rPr>
      </w:pPr>
      <w:r w:rsidRPr="7CEE3623">
        <w:rPr>
          <w:rFonts w:ascii="Century Gothic" w:eastAsia="Century Gothic" w:hAnsi="Century Gothic" w:cs="Century Gothic"/>
          <w:b/>
          <w:sz w:val="18"/>
          <w:szCs w:val="18"/>
        </w:rPr>
        <w:t xml:space="preserve">Figure </w:t>
      </w:r>
      <w:r w:rsidR="00BB3BD8">
        <w:rPr>
          <w:rFonts w:ascii="Century Gothic" w:eastAsia="Century Gothic" w:hAnsi="Century Gothic" w:cs="Century Gothic"/>
          <w:b/>
          <w:sz w:val="18"/>
          <w:szCs w:val="18"/>
        </w:rPr>
        <w:t>4</w:t>
      </w:r>
      <w:r w:rsidRPr="7CEE3623">
        <w:rPr>
          <w:rFonts w:ascii="Century Gothic" w:eastAsia="Century Gothic" w:hAnsi="Century Gothic" w:cs="Century Gothic"/>
          <w:b/>
          <w:sz w:val="18"/>
          <w:szCs w:val="18"/>
        </w:rPr>
        <w:t xml:space="preserve">. </w:t>
      </w:r>
      <w:r w:rsidR="009C20F1" w:rsidRPr="009C20F1">
        <w:rPr>
          <w:rFonts w:ascii="Century Gothic" w:eastAsia="Century Gothic" w:hAnsi="Century Gothic" w:cs="Century Gothic"/>
          <w:sz w:val="18"/>
          <w:szCs w:val="18"/>
        </w:rPr>
        <w:t>Proposed input pipeline of the SVRX model.</w:t>
      </w:r>
    </w:p>
    <w:p w14:paraId="00672BA4" w14:textId="77777777" w:rsidR="00590CC2" w:rsidRDefault="00590CC2" w:rsidP="006E2E32">
      <w:pPr>
        <w:outlineLvl w:val="0"/>
        <w:rPr>
          <w:rFonts w:ascii="Century Gothic" w:hAnsi="Century Gothic"/>
          <w:b/>
          <w:bCs/>
          <w:color w:val="943634"/>
          <w:kern w:val="36"/>
          <w:sz w:val="18"/>
          <w:szCs w:val="18"/>
        </w:rPr>
      </w:pPr>
    </w:p>
    <w:p w14:paraId="0E6B1537" w14:textId="77777777" w:rsidR="00590CC2" w:rsidRDefault="00590CC2" w:rsidP="006E2E32">
      <w:pPr>
        <w:outlineLvl w:val="0"/>
        <w:rPr>
          <w:rFonts w:ascii="Century Gothic" w:hAnsi="Century Gothic"/>
          <w:b/>
          <w:bCs/>
          <w:color w:val="943634"/>
          <w:kern w:val="36"/>
          <w:sz w:val="18"/>
          <w:szCs w:val="18"/>
        </w:rPr>
      </w:pPr>
    </w:p>
    <w:p w14:paraId="190DEC78" w14:textId="77777777" w:rsidR="00590CC2" w:rsidRDefault="00590CC2" w:rsidP="006E2E32">
      <w:pPr>
        <w:outlineLvl w:val="0"/>
        <w:rPr>
          <w:rFonts w:ascii="Century Gothic" w:hAnsi="Century Gothic"/>
          <w:b/>
          <w:bCs/>
          <w:color w:val="943634"/>
          <w:kern w:val="36"/>
          <w:sz w:val="18"/>
          <w:szCs w:val="18"/>
        </w:rPr>
      </w:pPr>
    </w:p>
    <w:p w14:paraId="0D1C8366" w14:textId="77777777" w:rsidR="00590CC2" w:rsidRDefault="00590CC2" w:rsidP="006E2E32">
      <w:pPr>
        <w:outlineLvl w:val="0"/>
        <w:rPr>
          <w:rFonts w:ascii="Century Gothic" w:hAnsi="Century Gothic"/>
          <w:b/>
          <w:bCs/>
          <w:color w:val="943634"/>
          <w:kern w:val="36"/>
          <w:sz w:val="18"/>
          <w:szCs w:val="18"/>
        </w:rPr>
      </w:pPr>
    </w:p>
    <w:p w14:paraId="76C480DE" w14:textId="46357D80" w:rsidR="00943CFA" w:rsidRDefault="00943CFA" w:rsidP="006E2E32">
      <w:pPr>
        <w:outlineLvl w:val="0"/>
        <w:rPr>
          <w:rFonts w:ascii="Century Gothic" w:hAnsi="Century Gothic"/>
          <w:b/>
          <w:bCs/>
          <w:color w:val="943634"/>
          <w:kern w:val="36"/>
          <w:sz w:val="18"/>
          <w:szCs w:val="18"/>
        </w:rPr>
      </w:pPr>
      <w:r w:rsidRPr="00E00D7C">
        <w:rPr>
          <w:rFonts w:ascii="Century Gothic" w:hAnsi="Century Gothic"/>
          <w:b/>
          <w:bCs/>
          <w:color w:val="943634"/>
          <w:kern w:val="36"/>
          <w:sz w:val="18"/>
          <w:szCs w:val="18"/>
        </w:rPr>
        <w:t>2.4 Forecasting Performance Evaluation</w:t>
      </w:r>
    </w:p>
    <w:p w14:paraId="6B5A371D" w14:textId="77777777" w:rsidR="00E00D7C" w:rsidRPr="00E00D7C" w:rsidRDefault="00E00D7C" w:rsidP="006E2E32">
      <w:pPr>
        <w:outlineLvl w:val="0"/>
        <w:rPr>
          <w:rFonts w:ascii="Century Gothic" w:hAnsi="Century Gothic"/>
          <w:b/>
          <w:bCs/>
          <w:color w:val="943634"/>
          <w:kern w:val="36"/>
          <w:sz w:val="18"/>
          <w:szCs w:val="18"/>
        </w:rPr>
      </w:pPr>
    </w:p>
    <w:p w14:paraId="6B90AFDE" w14:textId="665B7CB0" w:rsidR="00943CFA" w:rsidRPr="008C7F20" w:rsidRDefault="00943CFA" w:rsidP="00F3357C">
      <w:pPr>
        <w:rPr>
          <w:rFonts w:ascii="Century Gothic" w:hAnsi="Century Gothic"/>
          <w:color w:val="000000"/>
          <w:sz w:val="18"/>
          <w:szCs w:val="18"/>
        </w:rPr>
      </w:pPr>
      <w:r w:rsidRPr="008C7F20">
        <w:rPr>
          <w:rFonts w:ascii="Century Gothic" w:hAnsi="Century Gothic"/>
          <w:color w:val="000000"/>
          <w:sz w:val="18"/>
          <w:szCs w:val="18"/>
        </w:rPr>
        <w:t>To evaluate the performance of the models, this study compares their out-of-sample forecasts. This approach is commonly used to assess how well a model performs on new data that were not used during estimation</w:t>
      </w:r>
      <w:r w:rsidR="00BB4057">
        <w:rPr>
          <w:rFonts w:ascii="Century Gothic" w:hAnsi="Century Gothic"/>
          <w:color w:val="000000"/>
          <w:sz w:val="18"/>
          <w:szCs w:val="18"/>
        </w:rPr>
        <w:t xml:space="preserve"> </w:t>
      </w:r>
      <w:r w:rsidR="00BB4057">
        <w:rPr>
          <w:rFonts w:ascii="Century Gothic" w:hAnsi="Century Gothic"/>
          <w:color w:val="000000"/>
          <w:sz w:val="18"/>
          <w:szCs w:val="18"/>
        </w:rPr>
        <w:fldChar w:fldCharType="begin" w:fldLock="1"/>
      </w:r>
      <w:r w:rsidR="00BB4057">
        <w:rPr>
          <w:rFonts w:ascii="Century Gothic" w:hAnsi="Century Gothic"/>
          <w:color w:val="000000"/>
          <w:sz w:val="18"/>
          <w:szCs w:val="18"/>
        </w:rPr>
        <w:instrText>ADDIN CSL_CITATION {"citationItems":[{"id":"ITEM-1","itemData":{"author":[{"dropping-particle":"","family":"Hyndman","given":"Rob J","non-dropping-particle":"","parse-names":false,"suffix":""},{"dropping-particle":"","family":"Athanasopoulos","given":"George","non-dropping-particle":"","parse-names":false,"suffix":""}],"edition":"3rd","id":"ITEM-1","issued":{"date-parts":[["2021"]]},"publisher":"OTexts","publisher-place":"Melbourne","title":"Forecasting: Principles and Practice (3rd ed.). OTexts.","type":"book"},"uris":["http://www.mendeley.com/documents/?uuid=36685724-b1b5-4086-9031-4f389fff013c"]}],"mendeley":{"formattedCitation":"[27]","plainTextFormattedCitation":"[27]","previouslyFormattedCitation":"[27]"},"properties":{"noteIndex":0},"schema":"https://github.com/citation-style-language/schema/raw/master/csl-citation.json"}</w:instrText>
      </w:r>
      <w:r w:rsidR="00BB4057">
        <w:rPr>
          <w:rFonts w:ascii="Century Gothic" w:hAnsi="Century Gothic"/>
          <w:color w:val="000000"/>
          <w:sz w:val="18"/>
          <w:szCs w:val="18"/>
        </w:rPr>
        <w:fldChar w:fldCharType="separate"/>
      </w:r>
      <w:r w:rsidR="00BB4057" w:rsidRPr="00BB4057">
        <w:rPr>
          <w:rFonts w:ascii="Century Gothic" w:hAnsi="Century Gothic"/>
          <w:noProof/>
          <w:color w:val="000000"/>
          <w:sz w:val="18"/>
          <w:szCs w:val="18"/>
        </w:rPr>
        <w:t>[27]</w:t>
      </w:r>
      <w:r w:rsidR="00BB4057">
        <w:rPr>
          <w:rFonts w:ascii="Century Gothic" w:hAnsi="Century Gothic"/>
          <w:color w:val="000000"/>
          <w:sz w:val="18"/>
          <w:szCs w:val="18"/>
        </w:rPr>
        <w:fldChar w:fldCharType="end"/>
      </w:r>
      <w:r w:rsidR="001417C9">
        <w:rPr>
          <w:rFonts w:ascii="Century Gothic" w:hAnsi="Century Gothic"/>
          <w:color w:val="000000"/>
          <w:sz w:val="18"/>
          <w:szCs w:val="18"/>
        </w:rPr>
        <w:t>.</w:t>
      </w:r>
    </w:p>
    <w:p w14:paraId="28B7D528" w14:textId="77777777" w:rsidR="00943CFA" w:rsidRPr="008C7F20" w:rsidRDefault="00943CFA" w:rsidP="006E2E32">
      <w:pPr>
        <w:spacing w:after="240"/>
        <w:ind w:firstLine="284"/>
        <w:rPr>
          <w:rFonts w:ascii="Century Gothic" w:hAnsi="Century Gothic"/>
          <w:color w:val="000000"/>
          <w:sz w:val="18"/>
          <w:szCs w:val="18"/>
        </w:rPr>
      </w:pPr>
      <w:r w:rsidRPr="008C7F20">
        <w:rPr>
          <w:rFonts w:ascii="Century Gothic" w:hAnsi="Century Gothic"/>
          <w:color w:val="000000"/>
          <w:sz w:val="18"/>
          <w:szCs w:val="18"/>
        </w:rPr>
        <w:t>Three standard accuracy measures are used: Mean Absolute Error (MAE), Root Mean Square Error (RMSE), and Mean Absolute Percentage Error (MAPE).</w:t>
      </w:r>
    </w:p>
    <w:p w14:paraId="2F791C99" w14:textId="402E7EC9" w:rsidR="00943CFA" w:rsidRPr="0037679B" w:rsidRDefault="00943CFA" w:rsidP="006E2E32">
      <w:pPr>
        <w:rPr>
          <w:rFonts w:ascii="Century Gothic" w:hAnsi="Century Gothic"/>
          <w:b/>
          <w:bCs/>
          <w:color w:val="000000"/>
          <w:sz w:val="18"/>
          <w:szCs w:val="18"/>
        </w:rPr>
      </w:pPr>
      <w:r w:rsidRPr="008C7F20">
        <w:rPr>
          <w:rFonts w:ascii="Century Gothic" w:hAnsi="Century Gothic"/>
          <w:b/>
          <w:bCs/>
          <w:color w:val="000000"/>
          <w:sz w:val="18"/>
          <w:szCs w:val="18"/>
        </w:rPr>
        <w:t>Mean Absolute Error (MAE)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2"/>
        <w:gridCol w:w="549"/>
      </w:tblGrid>
      <w:tr w:rsidR="00943CFA" w:rsidRPr="0037679B" w14:paraId="7A7E508F" w14:textId="77777777">
        <w:tc>
          <w:tcPr>
            <w:tcW w:w="8926" w:type="dxa"/>
          </w:tcPr>
          <w:p w14:paraId="544AF4D8" w14:textId="77777777" w:rsidR="00943CFA" w:rsidRPr="0037679B" w:rsidRDefault="00112382" w:rsidP="006E2E32">
            <w:pPr>
              <w:rPr>
                <w:rFonts w:ascii="Century Gothic" w:hAnsi="Century Gothic"/>
                <w:b/>
                <w:bCs/>
                <w:color w:val="000000"/>
                <w:sz w:val="18"/>
                <w:szCs w:val="18"/>
              </w:rPr>
            </w:pPr>
            <m:oMathPara>
              <m:oMath>
                <m:r>
                  <m:rPr>
                    <m:sty m:val="bi"/>
                  </m:rPr>
                  <w:rPr>
                    <w:rFonts w:ascii="Cambria Math" w:hAnsi="Cambria Math"/>
                    <w:color w:val="000000"/>
                    <w:sz w:val="18"/>
                    <w:szCs w:val="18"/>
                  </w:rPr>
                  <m:t>MAE</m:t>
                </m:r>
                <m:r>
                  <w:rPr>
                    <w:rFonts w:ascii="Cambria Math" w:hAnsi="Cambria Math"/>
                    <w:color w:val="000000"/>
                    <w:sz w:val="18"/>
                    <w:szCs w:val="18"/>
                  </w:rPr>
                  <m:t>=</m:t>
                </m:r>
                <m:f>
                  <m:fPr>
                    <m:ctrlPr>
                      <w:rPr>
                        <w:rFonts w:ascii="Cambria Math" w:hAnsi="Cambria Math"/>
                        <w:i/>
                        <w:color w:val="000000"/>
                        <w:sz w:val="18"/>
                        <w:szCs w:val="18"/>
                      </w:rPr>
                    </m:ctrlPr>
                  </m:fPr>
                  <m:num>
                    <m:r>
                      <w:rPr>
                        <w:rFonts w:ascii="Cambria Math" w:hAnsi="Cambria Math"/>
                        <w:color w:val="000000"/>
                        <w:sz w:val="18"/>
                        <w:szCs w:val="18"/>
                      </w:rPr>
                      <m:t>1</m:t>
                    </m:r>
                  </m:num>
                  <m:den>
                    <m:r>
                      <w:rPr>
                        <w:rFonts w:ascii="Cambria Math" w:hAnsi="Cambria Math"/>
                        <w:color w:val="000000"/>
                        <w:sz w:val="18"/>
                        <w:szCs w:val="18"/>
                      </w:rPr>
                      <m:t>n</m:t>
                    </m:r>
                  </m:den>
                </m:f>
                <m:nary>
                  <m:naryPr>
                    <m:chr m:val="∑"/>
                    <m:limLoc m:val="undOvr"/>
                    <m:ctrlPr>
                      <w:rPr>
                        <w:rFonts w:ascii="Cambria Math" w:hAnsi="Cambria Math"/>
                        <w:i/>
                        <w:color w:val="000000"/>
                        <w:sz w:val="18"/>
                        <w:szCs w:val="18"/>
                      </w:rPr>
                    </m:ctrlPr>
                  </m:naryPr>
                  <m:sub>
                    <m:r>
                      <w:rPr>
                        <w:rFonts w:ascii="Cambria Math" w:hAnsi="Cambria Math"/>
                        <w:color w:val="000000"/>
                        <w:sz w:val="18"/>
                        <w:szCs w:val="18"/>
                      </w:rPr>
                      <m:t>t-1</m:t>
                    </m:r>
                  </m:sub>
                  <m:sup>
                    <m:r>
                      <w:rPr>
                        <w:rFonts w:ascii="Cambria Math" w:hAnsi="Cambria Math"/>
                        <w:color w:val="000000"/>
                        <w:sz w:val="18"/>
                        <w:szCs w:val="18"/>
                      </w:rPr>
                      <m:t>n</m:t>
                    </m:r>
                  </m:sup>
                  <m:e>
                    <m:d>
                      <m:dPr>
                        <m:begChr m:val="|"/>
                        <m:endChr m:val="|"/>
                        <m:ctrlPr>
                          <w:rPr>
                            <w:rFonts w:ascii="Cambria Math" w:hAnsi="Cambria Math"/>
                            <w:i/>
                            <w:color w:val="000000"/>
                            <w:sz w:val="18"/>
                            <w:szCs w:val="18"/>
                          </w:rPr>
                        </m:ctrlPr>
                      </m:dPr>
                      <m:e>
                        <m:sSub>
                          <m:sSubPr>
                            <m:ctrlPr>
                              <w:rPr>
                                <w:rFonts w:ascii="Cambria Math" w:hAnsi="Cambria Math"/>
                                <w:i/>
                                <w:color w:val="000000"/>
                                <w:sz w:val="18"/>
                                <w:szCs w:val="18"/>
                              </w:rPr>
                            </m:ctrlPr>
                          </m:sSubPr>
                          <m:e>
                            <m:r>
                              <w:rPr>
                                <w:rFonts w:ascii="Cambria Math" w:hAnsi="Cambria Math"/>
                                <w:color w:val="000000"/>
                                <w:sz w:val="18"/>
                                <w:szCs w:val="18"/>
                              </w:rPr>
                              <m:t>Y</m:t>
                            </m:r>
                          </m:e>
                          <m:sub>
                            <m:r>
                              <w:rPr>
                                <w:rFonts w:ascii="Cambria Math" w:hAnsi="Cambria Math"/>
                                <w:color w:val="000000"/>
                                <w:sz w:val="18"/>
                                <w:szCs w:val="18"/>
                              </w:rPr>
                              <m:t>t</m:t>
                            </m:r>
                          </m:sub>
                        </m:sSub>
                        <m:r>
                          <w:rPr>
                            <w:rFonts w:ascii="Cambria Math" w:hAnsi="Cambria Math"/>
                            <w:color w:val="000000"/>
                            <w:sz w:val="18"/>
                            <w:szCs w:val="18"/>
                          </w:rPr>
                          <m:t>-</m:t>
                        </m:r>
                        <m:sSub>
                          <m:sSubPr>
                            <m:ctrlPr>
                              <w:rPr>
                                <w:rFonts w:ascii="Cambria Math" w:hAnsi="Cambria Math"/>
                                <w:i/>
                                <w:color w:val="000000"/>
                                <w:sz w:val="18"/>
                                <w:szCs w:val="18"/>
                              </w:rPr>
                            </m:ctrlPr>
                          </m:sSubPr>
                          <m:e>
                            <m:acc>
                              <m:accPr>
                                <m:ctrlPr>
                                  <w:rPr>
                                    <w:rFonts w:ascii="Cambria Math" w:hAnsi="Cambria Math"/>
                                    <w:i/>
                                    <w:color w:val="000000"/>
                                    <w:sz w:val="18"/>
                                    <w:szCs w:val="18"/>
                                  </w:rPr>
                                </m:ctrlPr>
                              </m:accPr>
                              <m:e>
                                <m:r>
                                  <w:rPr>
                                    <w:rFonts w:ascii="Cambria Math" w:hAnsi="Cambria Math"/>
                                    <w:color w:val="000000"/>
                                    <w:sz w:val="18"/>
                                    <w:szCs w:val="18"/>
                                  </w:rPr>
                                  <m:t>Y</m:t>
                                </m:r>
                              </m:e>
                            </m:acc>
                          </m:e>
                          <m:sub>
                            <m:r>
                              <w:rPr>
                                <w:rFonts w:ascii="Cambria Math" w:hAnsi="Cambria Math"/>
                                <w:color w:val="000000"/>
                                <w:sz w:val="18"/>
                                <w:szCs w:val="18"/>
                              </w:rPr>
                              <m:t>t</m:t>
                            </m:r>
                          </m:sub>
                        </m:sSub>
                      </m:e>
                    </m:d>
                  </m:e>
                </m:nary>
              </m:oMath>
            </m:oMathPara>
          </w:p>
        </w:tc>
        <w:tc>
          <w:tcPr>
            <w:tcW w:w="424" w:type="dxa"/>
          </w:tcPr>
          <w:p w14:paraId="5A9FE573" w14:textId="77777777" w:rsidR="00943CFA" w:rsidRPr="0037679B" w:rsidRDefault="00943CFA" w:rsidP="006E2E32">
            <w:pPr>
              <w:rPr>
                <w:rFonts w:ascii="Century Gothic" w:hAnsi="Century Gothic"/>
                <w:color w:val="000000"/>
                <w:sz w:val="18"/>
                <w:szCs w:val="18"/>
              </w:rPr>
            </w:pPr>
          </w:p>
          <w:p w14:paraId="43324498" w14:textId="7B9B6F87" w:rsidR="00943CFA" w:rsidRPr="0037679B" w:rsidRDefault="00943CFA" w:rsidP="006E2E32">
            <w:pPr>
              <w:rPr>
                <w:rFonts w:ascii="Century Gothic" w:hAnsi="Century Gothic"/>
                <w:color w:val="000000"/>
                <w:sz w:val="18"/>
                <w:szCs w:val="18"/>
              </w:rPr>
            </w:pPr>
            <w:r w:rsidRPr="0037679B">
              <w:rPr>
                <w:rFonts w:ascii="Century Gothic" w:hAnsi="Century Gothic"/>
                <w:color w:val="000000"/>
                <w:sz w:val="18"/>
                <w:szCs w:val="18"/>
              </w:rPr>
              <w:t>(</w:t>
            </w:r>
            <w:r w:rsidR="000F687C">
              <w:rPr>
                <w:rFonts w:ascii="Century Gothic" w:hAnsi="Century Gothic"/>
                <w:color w:val="000000"/>
                <w:sz w:val="18"/>
                <w:szCs w:val="18"/>
              </w:rPr>
              <w:t>12</w:t>
            </w:r>
            <w:r w:rsidRPr="0037679B">
              <w:rPr>
                <w:rFonts w:ascii="Century Gothic" w:hAnsi="Century Gothic"/>
                <w:color w:val="000000"/>
                <w:sz w:val="18"/>
                <w:szCs w:val="18"/>
              </w:rPr>
              <w:t>)</w:t>
            </w:r>
          </w:p>
        </w:tc>
      </w:tr>
    </w:tbl>
    <w:p w14:paraId="5AE579E1" w14:textId="77777777" w:rsidR="00943CFA" w:rsidRPr="008C7F20" w:rsidRDefault="00943CFA" w:rsidP="00590CC2">
      <w:pPr>
        <w:rPr>
          <w:rFonts w:ascii="Century Gothic" w:hAnsi="Century Gothic"/>
          <w:color w:val="000000"/>
          <w:sz w:val="18"/>
          <w:szCs w:val="18"/>
        </w:rPr>
      </w:pPr>
      <w:r w:rsidRPr="008C7F20">
        <w:rPr>
          <w:rFonts w:ascii="Century Gothic" w:hAnsi="Century Gothic"/>
          <w:color w:val="000000"/>
          <w:sz w:val="18"/>
          <w:szCs w:val="18"/>
        </w:rPr>
        <w:t>MAE shows the average size of the errors in absolute terms.</w:t>
      </w:r>
    </w:p>
    <w:p w14:paraId="30819736" w14:textId="1FC08DFD" w:rsidR="00943CFA" w:rsidRPr="0037679B" w:rsidRDefault="00943CFA" w:rsidP="006E2E32">
      <w:pPr>
        <w:rPr>
          <w:rFonts w:ascii="Century Gothic" w:hAnsi="Century Gothic"/>
          <w:b/>
          <w:bCs/>
          <w:color w:val="000000"/>
          <w:sz w:val="18"/>
          <w:szCs w:val="18"/>
        </w:rPr>
      </w:pPr>
      <w:r w:rsidRPr="008C7F20">
        <w:rPr>
          <w:rFonts w:ascii="Century Gothic" w:hAnsi="Century Gothic"/>
          <w:b/>
          <w:bCs/>
          <w:color w:val="000000"/>
          <w:sz w:val="18"/>
          <w:szCs w:val="18"/>
        </w:rPr>
        <w:t>Root Mean Square Error (RMSE)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2"/>
        <w:gridCol w:w="549"/>
      </w:tblGrid>
      <w:tr w:rsidR="00943CFA" w:rsidRPr="0037679B" w14:paraId="27A98B03" w14:textId="77777777">
        <w:tc>
          <w:tcPr>
            <w:tcW w:w="8926" w:type="dxa"/>
          </w:tcPr>
          <w:p w14:paraId="7692D0B9" w14:textId="3FAF5758" w:rsidR="00943CFA" w:rsidRPr="0037679B" w:rsidRDefault="00112382" w:rsidP="006E2E32">
            <w:pPr>
              <w:rPr>
                <w:rFonts w:ascii="Century Gothic" w:hAnsi="Century Gothic"/>
                <w:b/>
                <w:bCs/>
                <w:color w:val="000000"/>
                <w:sz w:val="18"/>
                <w:szCs w:val="18"/>
              </w:rPr>
            </w:pPr>
            <m:oMathPara>
              <m:oMath>
                <m:r>
                  <m:rPr>
                    <m:sty m:val="bi"/>
                  </m:rPr>
                  <w:rPr>
                    <w:rFonts w:ascii="Cambria Math" w:hAnsi="Cambria Math"/>
                    <w:color w:val="000000"/>
                    <w:sz w:val="18"/>
                    <w:szCs w:val="18"/>
                  </w:rPr>
                  <m:t>RMSE</m:t>
                </m:r>
                <m:r>
                  <w:rPr>
                    <w:rFonts w:ascii="Cambria Math" w:hAnsi="Cambria Math"/>
                    <w:color w:val="000000"/>
                    <w:sz w:val="18"/>
                    <w:szCs w:val="18"/>
                  </w:rPr>
                  <m:t>=</m:t>
                </m:r>
                <m:r>
                  <m:rPr>
                    <m:sty m:val="bi"/>
                  </m:rPr>
                  <w:rPr>
                    <w:rFonts w:ascii="Cambria Math" w:hAnsi="Cambria Math"/>
                    <w:color w:val="000000"/>
                    <w:sz w:val="18"/>
                    <w:szCs w:val="18"/>
                  </w:rPr>
                  <m:t xml:space="preserve"> </m:t>
                </m:r>
                <m:rad>
                  <m:radPr>
                    <m:degHide m:val="1"/>
                    <m:ctrlPr>
                      <w:rPr>
                        <w:rFonts w:ascii="Cambria Math" w:hAnsi="Cambria Math"/>
                        <w:i/>
                        <w:color w:val="000000"/>
                        <w:sz w:val="18"/>
                        <w:szCs w:val="18"/>
                      </w:rPr>
                    </m:ctrlPr>
                  </m:radPr>
                  <m:deg/>
                  <m:e>
                    <m:f>
                      <m:fPr>
                        <m:ctrlPr>
                          <w:rPr>
                            <w:rFonts w:ascii="Cambria Math" w:hAnsi="Cambria Math"/>
                            <w:i/>
                            <w:color w:val="000000"/>
                            <w:sz w:val="18"/>
                            <w:szCs w:val="18"/>
                          </w:rPr>
                        </m:ctrlPr>
                      </m:fPr>
                      <m:num>
                        <m:r>
                          <w:rPr>
                            <w:rFonts w:ascii="Cambria Math" w:hAnsi="Cambria Math"/>
                            <w:color w:val="000000"/>
                            <w:sz w:val="18"/>
                            <w:szCs w:val="18"/>
                          </w:rPr>
                          <m:t>1</m:t>
                        </m:r>
                      </m:num>
                      <m:den>
                        <m:r>
                          <w:rPr>
                            <w:rFonts w:ascii="Cambria Math" w:hAnsi="Cambria Math"/>
                            <w:color w:val="000000"/>
                            <w:sz w:val="18"/>
                            <w:szCs w:val="18"/>
                          </w:rPr>
                          <m:t>n</m:t>
                        </m:r>
                      </m:den>
                    </m:f>
                    <m:nary>
                      <m:naryPr>
                        <m:chr m:val="∑"/>
                        <m:limLoc m:val="undOvr"/>
                        <m:ctrlPr>
                          <w:rPr>
                            <w:rFonts w:ascii="Cambria Math" w:hAnsi="Cambria Math"/>
                            <w:i/>
                            <w:color w:val="000000"/>
                            <w:sz w:val="18"/>
                            <w:szCs w:val="18"/>
                          </w:rPr>
                        </m:ctrlPr>
                      </m:naryPr>
                      <m:sub>
                        <m:r>
                          <w:rPr>
                            <w:rFonts w:ascii="Cambria Math" w:hAnsi="Cambria Math"/>
                            <w:color w:val="000000"/>
                            <w:sz w:val="18"/>
                            <w:szCs w:val="18"/>
                          </w:rPr>
                          <m:t>t=1</m:t>
                        </m:r>
                      </m:sub>
                      <m:sup>
                        <m:r>
                          <w:rPr>
                            <w:rFonts w:ascii="Cambria Math" w:hAnsi="Cambria Math"/>
                            <w:color w:val="000000"/>
                            <w:sz w:val="18"/>
                            <w:szCs w:val="18"/>
                          </w:rPr>
                          <m:t>n</m:t>
                        </m:r>
                      </m:sup>
                      <m:e>
                        <m:r>
                          <w:rPr>
                            <w:rFonts w:ascii="Cambria Math" w:hAnsi="Cambria Math"/>
                            <w:color w:val="000000"/>
                            <w:sz w:val="18"/>
                            <w:szCs w:val="18"/>
                          </w:rPr>
                          <m:t>(</m:t>
                        </m:r>
                        <m:sSup>
                          <m:sSupPr>
                            <m:ctrlPr>
                              <w:rPr>
                                <w:rFonts w:ascii="Cambria Math" w:hAnsi="Cambria Math"/>
                                <w:i/>
                                <w:color w:val="000000"/>
                                <w:sz w:val="18"/>
                                <w:szCs w:val="18"/>
                              </w:rPr>
                            </m:ctrlPr>
                          </m:sSupPr>
                          <m:e>
                            <m:sSub>
                              <m:sSubPr>
                                <m:ctrlPr>
                                  <w:rPr>
                                    <w:rFonts w:ascii="Cambria Math" w:hAnsi="Cambria Math"/>
                                    <w:i/>
                                    <w:color w:val="000000"/>
                                    <w:sz w:val="18"/>
                                    <w:szCs w:val="18"/>
                                  </w:rPr>
                                </m:ctrlPr>
                              </m:sSubPr>
                              <m:e>
                                <m:r>
                                  <w:rPr>
                                    <w:rFonts w:ascii="Cambria Math" w:hAnsi="Cambria Math"/>
                                    <w:color w:val="000000"/>
                                    <w:sz w:val="18"/>
                                    <w:szCs w:val="18"/>
                                  </w:rPr>
                                  <m:t>Y</m:t>
                                </m:r>
                              </m:e>
                              <m:sub>
                                <m:r>
                                  <w:rPr>
                                    <w:rFonts w:ascii="Cambria Math" w:hAnsi="Cambria Math"/>
                                    <w:color w:val="000000"/>
                                    <w:sz w:val="18"/>
                                    <w:szCs w:val="18"/>
                                  </w:rPr>
                                  <m:t>t</m:t>
                                </m:r>
                              </m:sub>
                            </m:sSub>
                            <m:r>
                              <w:rPr>
                                <w:rFonts w:ascii="Cambria Math" w:hAnsi="Cambria Math"/>
                                <w:color w:val="000000"/>
                                <w:sz w:val="18"/>
                                <w:szCs w:val="18"/>
                              </w:rPr>
                              <m:t>-</m:t>
                            </m:r>
                            <m:sSub>
                              <m:sSubPr>
                                <m:ctrlPr>
                                  <w:rPr>
                                    <w:rFonts w:ascii="Cambria Math" w:hAnsi="Cambria Math"/>
                                    <w:i/>
                                    <w:color w:val="000000"/>
                                    <w:sz w:val="18"/>
                                    <w:szCs w:val="18"/>
                                  </w:rPr>
                                </m:ctrlPr>
                              </m:sSubPr>
                              <m:e>
                                <m:acc>
                                  <m:accPr>
                                    <m:ctrlPr>
                                      <w:rPr>
                                        <w:rFonts w:ascii="Cambria Math" w:hAnsi="Cambria Math"/>
                                        <w:i/>
                                        <w:color w:val="000000"/>
                                        <w:sz w:val="18"/>
                                        <w:szCs w:val="18"/>
                                      </w:rPr>
                                    </m:ctrlPr>
                                  </m:accPr>
                                  <m:e>
                                    <m:r>
                                      <w:rPr>
                                        <w:rFonts w:ascii="Cambria Math" w:hAnsi="Cambria Math"/>
                                        <w:color w:val="000000"/>
                                        <w:sz w:val="18"/>
                                        <w:szCs w:val="18"/>
                                      </w:rPr>
                                      <m:t>Y</m:t>
                                    </m:r>
                                  </m:e>
                                </m:acc>
                              </m:e>
                              <m:sub>
                                <m:r>
                                  <w:rPr>
                                    <w:rFonts w:ascii="Cambria Math" w:hAnsi="Cambria Math"/>
                                    <w:color w:val="000000"/>
                                    <w:sz w:val="18"/>
                                    <w:szCs w:val="18"/>
                                  </w:rPr>
                                  <m:t>t</m:t>
                                </m:r>
                              </m:sub>
                            </m:sSub>
                            <m:r>
                              <w:rPr>
                                <w:rFonts w:ascii="Cambria Math" w:hAnsi="Cambria Math"/>
                                <w:color w:val="000000"/>
                                <w:sz w:val="18"/>
                                <w:szCs w:val="18"/>
                              </w:rPr>
                              <m:t>)</m:t>
                            </m:r>
                          </m:e>
                          <m:sup>
                            <m:r>
                              <w:rPr>
                                <w:rFonts w:ascii="Cambria Math" w:hAnsi="Cambria Math"/>
                                <w:color w:val="000000"/>
                                <w:sz w:val="18"/>
                                <w:szCs w:val="18"/>
                              </w:rPr>
                              <m:t>2</m:t>
                            </m:r>
                          </m:sup>
                        </m:sSup>
                      </m:e>
                    </m:nary>
                  </m:e>
                </m:rad>
              </m:oMath>
            </m:oMathPara>
          </w:p>
        </w:tc>
        <w:tc>
          <w:tcPr>
            <w:tcW w:w="424" w:type="dxa"/>
          </w:tcPr>
          <w:p w14:paraId="795E4ECD" w14:textId="77777777" w:rsidR="00943CFA" w:rsidRPr="0037679B" w:rsidRDefault="00943CFA" w:rsidP="006E2E32">
            <w:pPr>
              <w:rPr>
                <w:rFonts w:ascii="Century Gothic" w:hAnsi="Century Gothic"/>
                <w:color w:val="000000"/>
                <w:sz w:val="18"/>
                <w:szCs w:val="18"/>
              </w:rPr>
            </w:pPr>
          </w:p>
          <w:p w14:paraId="32020995" w14:textId="77777777" w:rsidR="00943CFA" w:rsidRPr="0037679B" w:rsidRDefault="00943CFA" w:rsidP="006E2E32">
            <w:pPr>
              <w:rPr>
                <w:rFonts w:ascii="Century Gothic" w:hAnsi="Century Gothic"/>
                <w:color w:val="000000"/>
                <w:sz w:val="18"/>
                <w:szCs w:val="18"/>
              </w:rPr>
            </w:pPr>
          </w:p>
          <w:p w14:paraId="13365D64" w14:textId="06151A8F" w:rsidR="00943CFA" w:rsidRPr="0037679B" w:rsidRDefault="00943CFA" w:rsidP="006E2E32">
            <w:pPr>
              <w:rPr>
                <w:rFonts w:ascii="Century Gothic" w:hAnsi="Century Gothic"/>
                <w:color w:val="000000"/>
                <w:sz w:val="18"/>
                <w:szCs w:val="18"/>
              </w:rPr>
            </w:pPr>
            <w:r w:rsidRPr="0037679B">
              <w:rPr>
                <w:rFonts w:ascii="Century Gothic" w:hAnsi="Century Gothic"/>
                <w:color w:val="000000"/>
                <w:sz w:val="18"/>
                <w:szCs w:val="18"/>
              </w:rPr>
              <w:t>(</w:t>
            </w:r>
            <w:r w:rsidR="000F687C">
              <w:rPr>
                <w:rFonts w:ascii="Century Gothic" w:hAnsi="Century Gothic"/>
                <w:color w:val="000000"/>
                <w:sz w:val="18"/>
                <w:szCs w:val="18"/>
              </w:rPr>
              <w:t>13</w:t>
            </w:r>
            <w:r w:rsidRPr="0037679B">
              <w:rPr>
                <w:rFonts w:ascii="Century Gothic" w:hAnsi="Century Gothic"/>
                <w:color w:val="000000"/>
                <w:sz w:val="18"/>
                <w:szCs w:val="18"/>
              </w:rPr>
              <w:t>)</w:t>
            </w:r>
          </w:p>
        </w:tc>
      </w:tr>
    </w:tbl>
    <w:p w14:paraId="2E46C915" w14:textId="77777777" w:rsidR="00943CFA" w:rsidRPr="008C7F20" w:rsidRDefault="00943CFA" w:rsidP="00590CC2">
      <w:pPr>
        <w:rPr>
          <w:rFonts w:ascii="Century Gothic" w:hAnsi="Century Gothic"/>
          <w:color w:val="000000"/>
          <w:sz w:val="18"/>
          <w:szCs w:val="18"/>
        </w:rPr>
      </w:pPr>
      <w:r w:rsidRPr="008C7F20">
        <w:rPr>
          <w:rFonts w:ascii="Century Gothic" w:hAnsi="Century Gothic"/>
          <w:color w:val="000000"/>
          <w:sz w:val="18"/>
          <w:szCs w:val="18"/>
        </w:rPr>
        <w:t>RMSE gives more weight to larger errors, making it sensitive to extreme values.</w:t>
      </w:r>
    </w:p>
    <w:p w14:paraId="6C9D000B" w14:textId="06B70AB6" w:rsidR="00943CFA" w:rsidRPr="0037679B" w:rsidRDefault="00943CFA" w:rsidP="006E2E32">
      <w:pPr>
        <w:rPr>
          <w:rFonts w:ascii="Century Gothic" w:hAnsi="Century Gothic"/>
          <w:b/>
          <w:bCs/>
          <w:color w:val="000000"/>
          <w:sz w:val="18"/>
          <w:szCs w:val="18"/>
        </w:rPr>
      </w:pPr>
      <w:r w:rsidRPr="008C7F20">
        <w:rPr>
          <w:rFonts w:ascii="Century Gothic" w:hAnsi="Century Gothic"/>
          <w:b/>
          <w:bCs/>
          <w:color w:val="000000"/>
          <w:sz w:val="18"/>
          <w:szCs w:val="18"/>
        </w:rPr>
        <w:t>Mean Absolute Percentage Error (MAPE)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2"/>
        <w:gridCol w:w="549"/>
      </w:tblGrid>
      <w:tr w:rsidR="00943CFA" w:rsidRPr="0037679B" w14:paraId="0F4C1CD3" w14:textId="77777777">
        <w:tc>
          <w:tcPr>
            <w:tcW w:w="8926" w:type="dxa"/>
          </w:tcPr>
          <w:p w14:paraId="5E17A8E5" w14:textId="77777777" w:rsidR="00943CFA" w:rsidRPr="0037679B" w:rsidRDefault="00112382" w:rsidP="006E2E32">
            <w:pPr>
              <w:rPr>
                <w:rFonts w:ascii="Century Gothic" w:hAnsi="Century Gothic"/>
                <w:color w:val="000000"/>
                <w:sz w:val="18"/>
                <w:szCs w:val="18"/>
              </w:rPr>
            </w:pPr>
            <m:oMathPara>
              <m:oMath>
                <m:r>
                  <m:rPr>
                    <m:sty m:val="bi"/>
                  </m:rPr>
                  <w:rPr>
                    <w:rFonts w:ascii="Cambria Math" w:hAnsi="Cambria Math"/>
                    <w:color w:val="000000"/>
                    <w:sz w:val="18"/>
                    <w:szCs w:val="18"/>
                  </w:rPr>
                  <m:t>MAPE</m:t>
                </m:r>
                <m:r>
                  <w:rPr>
                    <w:rFonts w:ascii="Cambria Math" w:hAnsi="Cambria Math"/>
                    <w:color w:val="000000"/>
                    <w:sz w:val="18"/>
                    <w:szCs w:val="18"/>
                  </w:rPr>
                  <m:t>=</m:t>
                </m:r>
                <m:f>
                  <m:fPr>
                    <m:ctrlPr>
                      <w:rPr>
                        <w:rFonts w:ascii="Cambria Math" w:hAnsi="Cambria Math"/>
                        <w:i/>
                        <w:color w:val="000000"/>
                        <w:sz w:val="18"/>
                        <w:szCs w:val="18"/>
                      </w:rPr>
                    </m:ctrlPr>
                  </m:fPr>
                  <m:num>
                    <m:r>
                      <w:rPr>
                        <w:rFonts w:ascii="Cambria Math" w:hAnsi="Cambria Math"/>
                        <w:color w:val="000000"/>
                        <w:sz w:val="18"/>
                        <w:szCs w:val="18"/>
                      </w:rPr>
                      <m:t>100%</m:t>
                    </m:r>
                  </m:num>
                  <m:den>
                    <m:r>
                      <w:rPr>
                        <w:rFonts w:ascii="Cambria Math" w:hAnsi="Cambria Math"/>
                        <w:color w:val="000000"/>
                        <w:sz w:val="18"/>
                        <w:szCs w:val="18"/>
                      </w:rPr>
                      <m:t>n</m:t>
                    </m:r>
                  </m:den>
                </m:f>
                <m:nary>
                  <m:naryPr>
                    <m:chr m:val="∑"/>
                    <m:limLoc m:val="undOvr"/>
                    <m:ctrlPr>
                      <w:rPr>
                        <w:rFonts w:ascii="Cambria Math" w:hAnsi="Cambria Math"/>
                        <w:i/>
                        <w:color w:val="000000"/>
                        <w:sz w:val="18"/>
                        <w:szCs w:val="18"/>
                      </w:rPr>
                    </m:ctrlPr>
                  </m:naryPr>
                  <m:sub>
                    <m:r>
                      <w:rPr>
                        <w:rFonts w:ascii="Cambria Math" w:hAnsi="Cambria Math"/>
                        <w:color w:val="000000"/>
                        <w:sz w:val="18"/>
                        <w:szCs w:val="18"/>
                      </w:rPr>
                      <m:t>t-1</m:t>
                    </m:r>
                  </m:sub>
                  <m:sup>
                    <m:r>
                      <w:rPr>
                        <w:rFonts w:ascii="Cambria Math" w:hAnsi="Cambria Math"/>
                        <w:color w:val="000000"/>
                        <w:sz w:val="18"/>
                        <w:szCs w:val="18"/>
                      </w:rPr>
                      <m:t>n</m:t>
                    </m:r>
                  </m:sup>
                  <m:e>
                    <m:d>
                      <m:dPr>
                        <m:begChr m:val="|"/>
                        <m:endChr m:val="|"/>
                        <m:ctrlPr>
                          <w:rPr>
                            <w:rFonts w:ascii="Cambria Math" w:hAnsi="Cambria Math"/>
                            <w:i/>
                            <w:color w:val="000000"/>
                            <w:sz w:val="18"/>
                            <w:szCs w:val="18"/>
                          </w:rPr>
                        </m:ctrlPr>
                      </m:dPr>
                      <m:e>
                        <m:f>
                          <m:fPr>
                            <m:ctrlPr>
                              <w:rPr>
                                <w:rFonts w:ascii="Cambria Math" w:hAnsi="Cambria Math"/>
                                <w:i/>
                                <w:color w:val="000000"/>
                                <w:sz w:val="18"/>
                                <w:szCs w:val="18"/>
                              </w:rPr>
                            </m:ctrlPr>
                          </m:fPr>
                          <m:num>
                            <m:sSub>
                              <m:sSubPr>
                                <m:ctrlPr>
                                  <w:rPr>
                                    <w:rFonts w:ascii="Cambria Math" w:hAnsi="Cambria Math"/>
                                    <w:i/>
                                    <w:color w:val="000000"/>
                                    <w:sz w:val="18"/>
                                    <w:szCs w:val="18"/>
                                  </w:rPr>
                                </m:ctrlPr>
                              </m:sSubPr>
                              <m:e>
                                <m:r>
                                  <w:rPr>
                                    <w:rFonts w:ascii="Cambria Math" w:hAnsi="Cambria Math"/>
                                    <w:color w:val="000000"/>
                                    <w:sz w:val="18"/>
                                    <w:szCs w:val="18"/>
                                  </w:rPr>
                                  <m:t>Y</m:t>
                                </m:r>
                              </m:e>
                              <m:sub>
                                <m:r>
                                  <w:rPr>
                                    <w:rFonts w:ascii="Cambria Math" w:hAnsi="Cambria Math"/>
                                    <w:color w:val="000000"/>
                                    <w:sz w:val="18"/>
                                    <w:szCs w:val="18"/>
                                  </w:rPr>
                                  <m:t>t</m:t>
                                </m:r>
                              </m:sub>
                            </m:sSub>
                            <m:r>
                              <w:rPr>
                                <w:rFonts w:ascii="Cambria Math" w:hAnsi="Cambria Math"/>
                                <w:color w:val="000000"/>
                                <w:sz w:val="18"/>
                                <w:szCs w:val="18"/>
                              </w:rPr>
                              <m:t>-</m:t>
                            </m:r>
                            <m:sSub>
                              <m:sSubPr>
                                <m:ctrlPr>
                                  <w:rPr>
                                    <w:rFonts w:ascii="Cambria Math" w:hAnsi="Cambria Math"/>
                                    <w:i/>
                                    <w:color w:val="000000"/>
                                    <w:sz w:val="18"/>
                                    <w:szCs w:val="18"/>
                                  </w:rPr>
                                </m:ctrlPr>
                              </m:sSubPr>
                              <m:e>
                                <m:acc>
                                  <m:accPr>
                                    <m:ctrlPr>
                                      <w:rPr>
                                        <w:rFonts w:ascii="Cambria Math" w:hAnsi="Cambria Math"/>
                                        <w:i/>
                                        <w:color w:val="000000"/>
                                        <w:sz w:val="18"/>
                                        <w:szCs w:val="18"/>
                                      </w:rPr>
                                    </m:ctrlPr>
                                  </m:accPr>
                                  <m:e>
                                    <m:r>
                                      <w:rPr>
                                        <w:rFonts w:ascii="Cambria Math" w:hAnsi="Cambria Math"/>
                                        <w:color w:val="000000"/>
                                        <w:sz w:val="18"/>
                                        <w:szCs w:val="18"/>
                                      </w:rPr>
                                      <m:t>Y</m:t>
                                    </m:r>
                                  </m:e>
                                </m:acc>
                              </m:e>
                              <m:sub>
                                <m:r>
                                  <w:rPr>
                                    <w:rFonts w:ascii="Cambria Math" w:hAnsi="Cambria Math"/>
                                    <w:color w:val="000000"/>
                                    <w:sz w:val="18"/>
                                    <w:szCs w:val="18"/>
                                  </w:rPr>
                                  <m:t>t</m:t>
                                </m:r>
                              </m:sub>
                            </m:sSub>
                          </m:num>
                          <m:den>
                            <m:sSub>
                              <m:sSubPr>
                                <m:ctrlPr>
                                  <w:rPr>
                                    <w:rFonts w:ascii="Cambria Math" w:hAnsi="Cambria Math"/>
                                    <w:i/>
                                    <w:color w:val="000000"/>
                                    <w:sz w:val="18"/>
                                    <w:szCs w:val="18"/>
                                  </w:rPr>
                                </m:ctrlPr>
                              </m:sSubPr>
                              <m:e>
                                <m:r>
                                  <w:rPr>
                                    <w:rFonts w:ascii="Cambria Math" w:hAnsi="Cambria Math"/>
                                    <w:color w:val="000000"/>
                                    <w:sz w:val="18"/>
                                    <w:szCs w:val="18"/>
                                  </w:rPr>
                                  <m:t>Y</m:t>
                                </m:r>
                              </m:e>
                              <m:sub>
                                <m:r>
                                  <w:rPr>
                                    <w:rFonts w:ascii="Cambria Math" w:hAnsi="Cambria Math"/>
                                    <w:color w:val="000000"/>
                                    <w:sz w:val="18"/>
                                    <w:szCs w:val="18"/>
                                  </w:rPr>
                                  <m:t>t</m:t>
                                </m:r>
                              </m:sub>
                            </m:sSub>
                          </m:den>
                        </m:f>
                      </m:e>
                    </m:d>
                  </m:e>
                </m:nary>
              </m:oMath>
            </m:oMathPara>
          </w:p>
        </w:tc>
        <w:tc>
          <w:tcPr>
            <w:tcW w:w="424" w:type="dxa"/>
          </w:tcPr>
          <w:p w14:paraId="4CB73F9E" w14:textId="77777777" w:rsidR="00943CFA" w:rsidRPr="0037679B" w:rsidRDefault="00943CFA" w:rsidP="006E2E32">
            <w:pPr>
              <w:rPr>
                <w:rFonts w:ascii="Century Gothic" w:hAnsi="Century Gothic"/>
                <w:color w:val="000000"/>
                <w:sz w:val="18"/>
                <w:szCs w:val="18"/>
              </w:rPr>
            </w:pPr>
          </w:p>
          <w:p w14:paraId="2D1075DA" w14:textId="77777777" w:rsidR="00943CFA" w:rsidRPr="0037679B" w:rsidRDefault="00943CFA" w:rsidP="006E2E32">
            <w:pPr>
              <w:rPr>
                <w:rFonts w:ascii="Century Gothic" w:hAnsi="Century Gothic"/>
                <w:color w:val="000000"/>
                <w:sz w:val="18"/>
                <w:szCs w:val="18"/>
              </w:rPr>
            </w:pPr>
          </w:p>
          <w:p w14:paraId="6B8603C9" w14:textId="66D85249" w:rsidR="00943CFA" w:rsidRPr="0037679B" w:rsidRDefault="00943CFA" w:rsidP="006E2E32">
            <w:pPr>
              <w:rPr>
                <w:rFonts w:ascii="Century Gothic" w:hAnsi="Century Gothic"/>
                <w:color w:val="000000"/>
                <w:sz w:val="18"/>
                <w:szCs w:val="18"/>
              </w:rPr>
            </w:pPr>
            <w:r w:rsidRPr="0037679B">
              <w:rPr>
                <w:rFonts w:ascii="Century Gothic" w:hAnsi="Century Gothic"/>
                <w:color w:val="000000"/>
                <w:sz w:val="18"/>
                <w:szCs w:val="18"/>
              </w:rPr>
              <w:t>(</w:t>
            </w:r>
            <w:r w:rsidR="000F687C">
              <w:rPr>
                <w:rFonts w:ascii="Century Gothic" w:hAnsi="Century Gothic"/>
                <w:color w:val="000000"/>
                <w:sz w:val="18"/>
                <w:szCs w:val="18"/>
              </w:rPr>
              <w:t>14</w:t>
            </w:r>
            <w:r w:rsidRPr="0037679B">
              <w:rPr>
                <w:rFonts w:ascii="Century Gothic" w:hAnsi="Century Gothic"/>
                <w:color w:val="000000"/>
                <w:sz w:val="18"/>
                <w:szCs w:val="18"/>
              </w:rPr>
              <w:t>)</w:t>
            </w:r>
          </w:p>
        </w:tc>
      </w:tr>
    </w:tbl>
    <w:p w14:paraId="75FA8638" w14:textId="77777777" w:rsidR="00943CFA" w:rsidRPr="008C7F20" w:rsidRDefault="00943CFA" w:rsidP="006E2E32">
      <w:pPr>
        <w:ind w:firstLine="284"/>
        <w:rPr>
          <w:rFonts w:ascii="Century Gothic" w:hAnsi="Century Gothic"/>
          <w:color w:val="000000"/>
          <w:sz w:val="18"/>
          <w:szCs w:val="18"/>
        </w:rPr>
      </w:pPr>
      <w:r w:rsidRPr="008C7F20">
        <w:rPr>
          <w:rFonts w:ascii="Century Gothic" w:hAnsi="Century Gothic"/>
          <w:color w:val="000000"/>
          <w:sz w:val="18"/>
          <w:szCs w:val="18"/>
        </w:rPr>
        <w:t>MAPE expresses the error as a percentage, which makes it easier to interpret and compare across different datasets.</w:t>
      </w:r>
    </w:p>
    <w:p w14:paraId="26FBFBB2" w14:textId="7802F6B8" w:rsidR="00943CFA" w:rsidRPr="0037679B" w:rsidRDefault="00943CFA" w:rsidP="006E2E32">
      <w:pPr>
        <w:spacing w:after="240"/>
        <w:rPr>
          <w:rFonts w:ascii="Century Gothic" w:hAnsi="Century Gothic"/>
          <w:color w:val="000000"/>
          <w:sz w:val="18"/>
          <w:szCs w:val="18"/>
        </w:rPr>
      </w:pPr>
      <w:r w:rsidRPr="008C7F20">
        <w:rPr>
          <w:rFonts w:ascii="Century Gothic" w:hAnsi="Century Gothic"/>
          <w:color w:val="000000"/>
          <w:sz w:val="18"/>
          <w:szCs w:val="18"/>
        </w:rPr>
        <w:t>These measures are widely used because they provide a clear and complementary view of model accuracy</w:t>
      </w:r>
      <w:r w:rsidR="00BB4057">
        <w:rPr>
          <w:rFonts w:ascii="Century Gothic" w:hAnsi="Century Gothic"/>
          <w:color w:val="000000"/>
          <w:sz w:val="18"/>
          <w:szCs w:val="18"/>
        </w:rPr>
        <w:t xml:space="preserve"> </w:t>
      </w:r>
      <w:r w:rsidR="00BB4057">
        <w:rPr>
          <w:rFonts w:ascii="Century Gothic" w:hAnsi="Century Gothic"/>
          <w:color w:val="000000"/>
          <w:sz w:val="18"/>
          <w:szCs w:val="18"/>
        </w:rPr>
        <w:fldChar w:fldCharType="begin" w:fldLock="1"/>
      </w:r>
      <w:r w:rsidR="00BB4057">
        <w:rPr>
          <w:rFonts w:ascii="Century Gothic" w:hAnsi="Century Gothic"/>
          <w:color w:val="000000"/>
          <w:sz w:val="18"/>
          <w:szCs w:val="18"/>
        </w:rPr>
        <w:instrText>ADDIN CSL_CITATION {"citationItems":[{"id":"ITEM-1","itemData":{"author":[{"dropping-particle":"","family":"Lewis","given":"Colin","non-dropping-particle":"","parse-names":false,"suffix":""}],"id":"ITEM-1","issued":{"date-parts":[["1982"]]},"publisher":"Butterworth Scientific","publisher-place":"California","title":"Industrial and Business Forecasting Methods: A Practical Guide to Exponential Smoothing and Curve Fitting","type":"book"},"uris":["http://www.mendeley.com/documents/?uuid=35e01124-626a-4ab4-8813-3888c6682c23"]}],"mendeley":{"formattedCitation":"[28]","plainTextFormattedCitation":"[28]"},"properties":{"noteIndex":0},"schema":"https://github.com/citation-style-language/schema/raw/master/csl-citation.json"}</w:instrText>
      </w:r>
      <w:r w:rsidR="00BB4057">
        <w:rPr>
          <w:rFonts w:ascii="Century Gothic" w:hAnsi="Century Gothic"/>
          <w:color w:val="000000"/>
          <w:sz w:val="18"/>
          <w:szCs w:val="18"/>
        </w:rPr>
        <w:fldChar w:fldCharType="separate"/>
      </w:r>
      <w:r w:rsidR="00BB4057" w:rsidRPr="00BB4057">
        <w:rPr>
          <w:rFonts w:ascii="Century Gothic" w:hAnsi="Century Gothic"/>
          <w:noProof/>
          <w:color w:val="000000"/>
          <w:sz w:val="18"/>
          <w:szCs w:val="18"/>
        </w:rPr>
        <w:t>[28]</w:t>
      </w:r>
      <w:r w:rsidR="00BB4057">
        <w:rPr>
          <w:rFonts w:ascii="Century Gothic" w:hAnsi="Century Gothic"/>
          <w:color w:val="000000"/>
          <w:sz w:val="18"/>
          <w:szCs w:val="18"/>
        </w:rPr>
        <w:fldChar w:fldCharType="end"/>
      </w:r>
      <w:r>
        <w:rPr>
          <w:rFonts w:ascii="Century Gothic" w:hAnsi="Century Gothic"/>
          <w:color w:val="000000"/>
          <w:sz w:val="18"/>
          <w:szCs w:val="18"/>
        </w:rPr>
        <w:t xml:space="preserve">. </w:t>
      </w:r>
      <w:r w:rsidR="002D3B02">
        <w:rPr>
          <w:rFonts w:ascii="Century Gothic" w:hAnsi="Century Gothic"/>
          <w:color w:val="000000"/>
          <w:sz w:val="18"/>
          <w:szCs w:val="18"/>
        </w:rPr>
        <w:t xml:space="preserve">The accuracy calculation based on the MAPE value is as follows. </w:t>
      </w:r>
    </w:p>
    <w:p w14:paraId="3D0C8FA9" w14:textId="01939EAA" w:rsidR="009A3F5F" w:rsidRPr="009A3F5F" w:rsidRDefault="009A3F5F" w:rsidP="006E2E32">
      <w:pPr>
        <w:pStyle w:val="Caption"/>
        <w:keepNext/>
        <w:spacing w:after="0"/>
        <w:jc w:val="center"/>
        <w:rPr>
          <w:rFonts w:ascii="Century Gothic" w:hAnsi="Century Gothic"/>
          <w:i w:val="0"/>
          <w:iCs w:val="0"/>
        </w:rPr>
      </w:pPr>
      <w:r w:rsidRPr="00173583">
        <w:rPr>
          <w:rFonts w:ascii="Century Gothic" w:hAnsi="Century Gothic"/>
          <w:b/>
          <w:bCs/>
          <w:i w:val="0"/>
          <w:iCs w:val="0"/>
          <w:color w:val="auto"/>
        </w:rPr>
        <w:t xml:space="preserve">Table </w:t>
      </w:r>
      <w:r w:rsidR="00795FCE" w:rsidRPr="00173583">
        <w:rPr>
          <w:rFonts w:ascii="Century Gothic" w:hAnsi="Century Gothic"/>
          <w:b/>
          <w:bCs/>
          <w:i w:val="0"/>
          <w:iCs w:val="0"/>
          <w:color w:val="auto"/>
        </w:rPr>
        <w:t>2.</w:t>
      </w:r>
      <w:r w:rsidRPr="00173583">
        <w:rPr>
          <w:rFonts w:ascii="Century Gothic" w:hAnsi="Century Gothic"/>
          <w:b/>
          <w:bCs/>
          <w:i w:val="0"/>
          <w:iCs w:val="0"/>
          <w:color w:val="auto"/>
        </w:rPr>
        <w:t xml:space="preserve"> </w:t>
      </w:r>
      <w:r w:rsidR="005C64E2" w:rsidRPr="005C64E2">
        <w:rPr>
          <w:rFonts w:ascii="Century Gothic" w:hAnsi="Century Gothic"/>
          <w:i w:val="0"/>
          <w:iCs w:val="0"/>
        </w:rPr>
        <w:t>Classification framework for MAPE forecasting accuracy.</w:t>
      </w:r>
    </w:p>
    <w:tbl>
      <w:tblPr>
        <w:tblW w:w="3970" w:type="dxa"/>
        <w:jc w:val="center"/>
        <w:tblBorders>
          <w:top w:val="single" w:sz="4" w:space="0" w:color="auto"/>
          <w:bottom w:val="single" w:sz="4" w:space="0" w:color="auto"/>
        </w:tblBorders>
        <w:tblLayout w:type="fixed"/>
        <w:tblLook w:val="04A0" w:firstRow="1" w:lastRow="0" w:firstColumn="1" w:lastColumn="0" w:noHBand="0" w:noVBand="1"/>
      </w:tblPr>
      <w:tblGrid>
        <w:gridCol w:w="2127"/>
        <w:gridCol w:w="1843"/>
      </w:tblGrid>
      <w:tr w:rsidR="002D3B02" w:rsidRPr="000F14C5" w14:paraId="2EFEC912" w14:textId="77777777" w:rsidTr="00A55E37">
        <w:trPr>
          <w:cantSplit/>
          <w:trHeight w:val="188"/>
          <w:jc w:val="center"/>
        </w:trPr>
        <w:tc>
          <w:tcPr>
            <w:tcW w:w="2127" w:type="dxa"/>
            <w:tcBorders>
              <w:top w:val="single" w:sz="4" w:space="0" w:color="auto"/>
              <w:bottom w:val="single" w:sz="4" w:space="0" w:color="auto"/>
            </w:tcBorders>
            <w:vAlign w:val="center"/>
            <w:hideMark/>
          </w:tcPr>
          <w:p w14:paraId="0017FC46" w14:textId="25254075" w:rsidR="002D3B02" w:rsidRPr="000F14C5" w:rsidRDefault="000D29A1" w:rsidP="006E2E32">
            <w:pPr>
              <w:autoSpaceDE w:val="0"/>
              <w:autoSpaceDN w:val="0"/>
              <w:adjustRightInd w:val="0"/>
              <w:jc w:val="center"/>
              <w:rPr>
                <w:rFonts w:ascii="Century Gothic" w:hAnsi="Century Gothic"/>
                <w:b/>
                <w:sz w:val="16"/>
                <w:szCs w:val="16"/>
                <w:lang w:val="en-MY"/>
              </w:rPr>
            </w:pPr>
            <w:r>
              <w:rPr>
                <w:rFonts w:ascii="Century Gothic" w:hAnsi="Century Gothic"/>
                <w:b/>
                <w:sz w:val="16"/>
                <w:szCs w:val="16"/>
                <w:lang w:val="en-MY"/>
              </w:rPr>
              <w:t>MAPE</w:t>
            </w:r>
          </w:p>
        </w:tc>
        <w:tc>
          <w:tcPr>
            <w:tcW w:w="1843" w:type="dxa"/>
            <w:tcBorders>
              <w:top w:val="single" w:sz="4" w:space="0" w:color="auto"/>
              <w:bottom w:val="single" w:sz="4" w:space="0" w:color="auto"/>
            </w:tcBorders>
            <w:hideMark/>
          </w:tcPr>
          <w:p w14:paraId="3335B8C9" w14:textId="3A350CC4" w:rsidR="002D3B02" w:rsidRPr="000F14C5" w:rsidRDefault="000D29A1" w:rsidP="006E2E32">
            <w:pPr>
              <w:autoSpaceDE w:val="0"/>
              <w:autoSpaceDN w:val="0"/>
              <w:adjustRightInd w:val="0"/>
              <w:jc w:val="center"/>
              <w:rPr>
                <w:rFonts w:ascii="Century Gothic" w:hAnsi="Century Gothic"/>
                <w:b/>
                <w:sz w:val="16"/>
                <w:szCs w:val="16"/>
                <w:lang w:val="en-MY"/>
              </w:rPr>
            </w:pPr>
            <w:r>
              <w:rPr>
                <w:rFonts w:ascii="Century Gothic" w:hAnsi="Century Gothic"/>
                <w:b/>
                <w:sz w:val="16"/>
                <w:szCs w:val="16"/>
                <w:lang w:val="en-MY"/>
              </w:rPr>
              <w:t>Accuracy Rating</w:t>
            </w:r>
          </w:p>
        </w:tc>
      </w:tr>
      <w:tr w:rsidR="002D3B02" w:rsidRPr="000F14C5" w14:paraId="54D1BCB4" w14:textId="77777777" w:rsidTr="00A55E37">
        <w:trPr>
          <w:cantSplit/>
          <w:jc w:val="center"/>
        </w:trPr>
        <w:tc>
          <w:tcPr>
            <w:tcW w:w="2127" w:type="dxa"/>
            <w:tcBorders>
              <w:top w:val="single" w:sz="4" w:space="0" w:color="auto"/>
            </w:tcBorders>
            <w:hideMark/>
          </w:tcPr>
          <w:p w14:paraId="31AD1971" w14:textId="72E50DFB" w:rsidR="002D3B02" w:rsidRPr="000F14C5" w:rsidRDefault="00871A19" w:rsidP="006E2E32">
            <w:pPr>
              <w:autoSpaceDE w:val="0"/>
              <w:autoSpaceDN w:val="0"/>
              <w:adjustRightInd w:val="0"/>
              <w:jc w:val="center"/>
              <w:rPr>
                <w:rFonts w:ascii="Century Gothic" w:hAnsi="Century Gothic"/>
                <w:sz w:val="16"/>
                <w:szCs w:val="16"/>
                <w:lang w:val="en-MY"/>
              </w:rPr>
            </w:pPr>
            <m:oMathPara>
              <m:oMath>
                <m:r>
                  <w:rPr>
                    <w:rFonts w:ascii="Cambria Math" w:hAnsi="Cambria Math"/>
                    <w:sz w:val="16"/>
                    <w:szCs w:val="16"/>
                    <w:lang w:val="en-MY"/>
                  </w:rPr>
                  <m:t>&lt;10%</m:t>
                </m:r>
              </m:oMath>
            </m:oMathPara>
          </w:p>
        </w:tc>
        <w:tc>
          <w:tcPr>
            <w:tcW w:w="1843" w:type="dxa"/>
            <w:tcBorders>
              <w:top w:val="single" w:sz="4" w:space="0" w:color="auto"/>
            </w:tcBorders>
            <w:hideMark/>
          </w:tcPr>
          <w:p w14:paraId="58B5E2FC" w14:textId="1A590D33" w:rsidR="002D3B02" w:rsidRPr="000F14C5" w:rsidRDefault="0089316D" w:rsidP="006E2E32">
            <w:pPr>
              <w:autoSpaceDE w:val="0"/>
              <w:autoSpaceDN w:val="0"/>
              <w:adjustRightInd w:val="0"/>
              <w:jc w:val="center"/>
              <w:rPr>
                <w:rFonts w:ascii="Century Gothic" w:hAnsi="Century Gothic"/>
                <w:sz w:val="16"/>
                <w:szCs w:val="16"/>
                <w:lang w:val="en-MY"/>
              </w:rPr>
            </w:pPr>
            <w:r>
              <w:rPr>
                <w:rFonts w:ascii="Century Gothic" w:hAnsi="Century Gothic"/>
                <w:sz w:val="16"/>
                <w:szCs w:val="16"/>
                <w:lang w:val="en-MY"/>
              </w:rPr>
              <w:t>Highly Accurate</w:t>
            </w:r>
          </w:p>
        </w:tc>
      </w:tr>
      <w:tr w:rsidR="002D3B02" w:rsidRPr="000F14C5" w14:paraId="7CCF96B8" w14:textId="77777777" w:rsidTr="00A55E37">
        <w:trPr>
          <w:cantSplit/>
          <w:jc w:val="center"/>
        </w:trPr>
        <w:tc>
          <w:tcPr>
            <w:tcW w:w="2127" w:type="dxa"/>
            <w:hideMark/>
          </w:tcPr>
          <w:p w14:paraId="1A45FED8" w14:textId="68B27189" w:rsidR="002D3B02" w:rsidRPr="000F14C5" w:rsidRDefault="00A55E37" w:rsidP="006E2E32">
            <w:pPr>
              <w:autoSpaceDE w:val="0"/>
              <w:autoSpaceDN w:val="0"/>
              <w:adjustRightInd w:val="0"/>
              <w:jc w:val="center"/>
              <w:rPr>
                <w:rFonts w:ascii="Century Gothic" w:hAnsi="Century Gothic"/>
                <w:sz w:val="16"/>
                <w:szCs w:val="16"/>
                <w:lang w:val="en-MY"/>
              </w:rPr>
            </w:pPr>
            <m:oMathPara>
              <m:oMath>
                <m:r>
                  <w:rPr>
                    <w:rFonts w:ascii="Cambria Math" w:hAnsi="Cambria Math"/>
                    <w:sz w:val="16"/>
                    <w:szCs w:val="16"/>
                    <w:lang w:val="en-MY"/>
                  </w:rPr>
                  <m:t>10%≤MAPE≤20%</m:t>
                </m:r>
              </m:oMath>
            </m:oMathPara>
          </w:p>
        </w:tc>
        <w:tc>
          <w:tcPr>
            <w:tcW w:w="1843" w:type="dxa"/>
            <w:hideMark/>
          </w:tcPr>
          <w:p w14:paraId="0A4E66EF" w14:textId="167B307D" w:rsidR="002D3B02" w:rsidRPr="000F14C5" w:rsidRDefault="0089316D" w:rsidP="006E2E32">
            <w:pPr>
              <w:autoSpaceDE w:val="0"/>
              <w:autoSpaceDN w:val="0"/>
              <w:adjustRightInd w:val="0"/>
              <w:jc w:val="center"/>
              <w:rPr>
                <w:rFonts w:ascii="Century Gothic" w:hAnsi="Century Gothic"/>
                <w:sz w:val="16"/>
                <w:szCs w:val="16"/>
                <w:lang w:val="en-MY"/>
              </w:rPr>
            </w:pPr>
            <w:r>
              <w:rPr>
                <w:rFonts w:ascii="Century Gothic" w:hAnsi="Century Gothic"/>
                <w:sz w:val="16"/>
                <w:szCs w:val="16"/>
                <w:lang w:val="en-MY"/>
              </w:rPr>
              <w:t>Good Accuracy</w:t>
            </w:r>
          </w:p>
        </w:tc>
      </w:tr>
      <w:tr w:rsidR="002D3B02" w:rsidRPr="000F14C5" w14:paraId="271FC739" w14:textId="77777777" w:rsidTr="00A55E37">
        <w:trPr>
          <w:cantSplit/>
          <w:jc w:val="center"/>
        </w:trPr>
        <w:tc>
          <w:tcPr>
            <w:tcW w:w="2127" w:type="dxa"/>
            <w:hideMark/>
          </w:tcPr>
          <w:p w14:paraId="267EABF5" w14:textId="231E8AB7" w:rsidR="002D3B02" w:rsidRPr="000F14C5" w:rsidRDefault="003561E9" w:rsidP="006E2E32">
            <w:pPr>
              <w:autoSpaceDE w:val="0"/>
              <w:autoSpaceDN w:val="0"/>
              <w:adjustRightInd w:val="0"/>
              <w:jc w:val="center"/>
              <w:rPr>
                <w:rFonts w:ascii="Century Gothic" w:hAnsi="Century Gothic"/>
                <w:sz w:val="16"/>
                <w:szCs w:val="16"/>
                <w:lang w:val="en-MY"/>
              </w:rPr>
            </w:pPr>
            <m:oMathPara>
              <m:oMath>
                <m:r>
                  <w:rPr>
                    <w:rFonts w:ascii="Cambria Math" w:hAnsi="Cambria Math"/>
                    <w:sz w:val="16"/>
                    <w:szCs w:val="16"/>
                    <w:lang w:val="en-MY"/>
                  </w:rPr>
                  <m:t>20%</m:t>
                </m:r>
                <m:r>
                  <m:rPr>
                    <m:sty m:val="p"/>
                  </m:rPr>
                  <w:rPr>
                    <w:rFonts w:ascii="Cambria Math" w:hAnsi="Cambria Math"/>
                    <w:sz w:val="16"/>
                    <w:szCs w:val="16"/>
                    <w:lang w:val="en-MY"/>
                  </w:rPr>
                  <m:t>&lt;</m:t>
                </m:r>
                <m:r>
                  <w:rPr>
                    <w:rFonts w:ascii="Cambria Math" w:hAnsi="Cambria Math"/>
                    <w:sz w:val="16"/>
                    <w:szCs w:val="16"/>
                    <w:lang w:val="en-MY"/>
                  </w:rPr>
                  <m:t>MAPE≤50%</m:t>
                </m:r>
              </m:oMath>
            </m:oMathPara>
          </w:p>
        </w:tc>
        <w:tc>
          <w:tcPr>
            <w:tcW w:w="1843" w:type="dxa"/>
            <w:hideMark/>
          </w:tcPr>
          <w:p w14:paraId="64979AF0" w14:textId="60DE9745" w:rsidR="002D3B02" w:rsidRPr="000F14C5" w:rsidRDefault="0089316D" w:rsidP="006E2E32">
            <w:pPr>
              <w:autoSpaceDE w:val="0"/>
              <w:autoSpaceDN w:val="0"/>
              <w:adjustRightInd w:val="0"/>
              <w:jc w:val="center"/>
              <w:rPr>
                <w:rFonts w:ascii="Century Gothic" w:hAnsi="Century Gothic"/>
                <w:sz w:val="16"/>
                <w:szCs w:val="16"/>
                <w:lang w:val="en-MY"/>
              </w:rPr>
            </w:pPr>
            <w:r>
              <w:rPr>
                <w:rFonts w:ascii="Century Gothic" w:hAnsi="Century Gothic"/>
                <w:sz w:val="16"/>
                <w:szCs w:val="16"/>
                <w:lang w:val="en-MY"/>
              </w:rPr>
              <w:t>Low Accuracy</w:t>
            </w:r>
          </w:p>
        </w:tc>
      </w:tr>
      <w:tr w:rsidR="002D3B02" w:rsidRPr="000F14C5" w14:paraId="58497513" w14:textId="77777777" w:rsidTr="00A55E37">
        <w:trPr>
          <w:cantSplit/>
          <w:jc w:val="center"/>
        </w:trPr>
        <w:tc>
          <w:tcPr>
            <w:tcW w:w="2127" w:type="dxa"/>
            <w:hideMark/>
          </w:tcPr>
          <w:p w14:paraId="4561023F" w14:textId="061C5BF5" w:rsidR="002D3B02" w:rsidRPr="000F14C5" w:rsidRDefault="00871A19" w:rsidP="006E2E32">
            <w:pPr>
              <w:autoSpaceDE w:val="0"/>
              <w:autoSpaceDN w:val="0"/>
              <w:adjustRightInd w:val="0"/>
              <w:jc w:val="center"/>
              <w:rPr>
                <w:rFonts w:ascii="Century Gothic" w:hAnsi="Century Gothic"/>
                <w:sz w:val="16"/>
                <w:szCs w:val="16"/>
                <w:lang w:val="en-MY"/>
              </w:rPr>
            </w:pPr>
            <m:oMathPara>
              <m:oMath>
                <m:r>
                  <m:rPr>
                    <m:sty m:val="p"/>
                  </m:rPr>
                  <w:rPr>
                    <w:rFonts w:ascii="Cambria Math" w:hAnsi="Cambria Math"/>
                    <w:sz w:val="16"/>
                    <w:szCs w:val="16"/>
                    <w:lang w:val="en-MY"/>
                  </w:rPr>
                  <m:t xml:space="preserve">50% </m:t>
                </m:r>
                <m:r>
                  <w:rPr>
                    <w:rFonts w:ascii="Cambria Math" w:hAnsi="Cambria Math"/>
                    <w:sz w:val="16"/>
                    <w:szCs w:val="16"/>
                    <w:lang w:val="en-MY"/>
                  </w:rPr>
                  <m:t>≤ MAPE</m:t>
                </m:r>
              </m:oMath>
            </m:oMathPara>
          </w:p>
        </w:tc>
        <w:tc>
          <w:tcPr>
            <w:tcW w:w="1843" w:type="dxa"/>
            <w:hideMark/>
          </w:tcPr>
          <w:p w14:paraId="35A00E18" w14:textId="4D02009E" w:rsidR="002D3B02" w:rsidRPr="000F14C5" w:rsidRDefault="0089316D" w:rsidP="006E2E32">
            <w:pPr>
              <w:autoSpaceDE w:val="0"/>
              <w:autoSpaceDN w:val="0"/>
              <w:adjustRightInd w:val="0"/>
              <w:jc w:val="center"/>
              <w:rPr>
                <w:rFonts w:ascii="Century Gothic" w:hAnsi="Century Gothic"/>
                <w:sz w:val="16"/>
                <w:szCs w:val="16"/>
                <w:lang w:val="en-MY"/>
              </w:rPr>
            </w:pPr>
            <w:proofErr w:type="spellStart"/>
            <w:r>
              <w:rPr>
                <w:rFonts w:ascii="Century Gothic" w:hAnsi="Century Gothic"/>
                <w:sz w:val="16"/>
                <w:szCs w:val="16"/>
                <w:lang w:val="en-MY"/>
              </w:rPr>
              <w:t>Inacurate</w:t>
            </w:r>
            <w:proofErr w:type="spellEnd"/>
          </w:p>
        </w:tc>
      </w:tr>
    </w:tbl>
    <w:p w14:paraId="68EFC1AB" w14:textId="71D2F6FB" w:rsidR="00AD70D0" w:rsidRPr="00BB3F74" w:rsidRDefault="00AD70D0" w:rsidP="006E2E32">
      <w:pPr>
        <w:pStyle w:val="TAMainText"/>
        <w:spacing w:line="240" w:lineRule="auto"/>
        <w:ind w:firstLine="0"/>
        <w:rPr>
          <w:rFonts w:ascii="Century Gothic" w:hAnsi="Century Gothic"/>
          <w:b/>
          <w:color w:val="943634"/>
          <w:sz w:val="22"/>
          <w:szCs w:val="22"/>
        </w:rPr>
      </w:pPr>
    </w:p>
    <w:p w14:paraId="1649E599" w14:textId="574EE7D5" w:rsidR="006432E2" w:rsidRDefault="00911601" w:rsidP="006E2E32">
      <w:pPr>
        <w:pStyle w:val="TAMainText"/>
        <w:spacing w:line="240" w:lineRule="auto"/>
        <w:ind w:firstLine="0"/>
        <w:rPr>
          <w:rFonts w:ascii="Century Gothic" w:hAnsi="Century Gothic"/>
          <w:b/>
          <w:color w:val="943634"/>
          <w:sz w:val="22"/>
          <w:szCs w:val="22"/>
        </w:rPr>
      </w:pPr>
      <w:proofErr w:type="gramStart"/>
      <w:r w:rsidRPr="00BB3F74">
        <w:rPr>
          <w:rFonts w:ascii="Century Gothic" w:hAnsi="Century Gothic"/>
          <w:b/>
          <w:color w:val="943634"/>
          <w:sz w:val="22"/>
          <w:szCs w:val="22"/>
        </w:rPr>
        <w:t>3</w:t>
      </w:r>
      <w:r w:rsidR="006432E2" w:rsidRPr="00BB3F74">
        <w:rPr>
          <w:rFonts w:ascii="Century Gothic" w:hAnsi="Century Gothic"/>
          <w:b/>
          <w:color w:val="943634"/>
          <w:sz w:val="22"/>
          <w:szCs w:val="22"/>
        </w:rPr>
        <w:t xml:space="preserve">.0  </w:t>
      </w:r>
      <w:r w:rsidRPr="00BB3F74">
        <w:rPr>
          <w:rFonts w:ascii="Century Gothic" w:hAnsi="Century Gothic"/>
          <w:b/>
          <w:color w:val="943634"/>
          <w:sz w:val="22"/>
          <w:szCs w:val="22"/>
        </w:rPr>
        <w:t>RESULTS</w:t>
      </w:r>
      <w:proofErr w:type="gramEnd"/>
      <w:r w:rsidRPr="00BB3F74">
        <w:rPr>
          <w:rFonts w:ascii="Century Gothic" w:hAnsi="Century Gothic"/>
          <w:b/>
          <w:color w:val="943634"/>
          <w:sz w:val="22"/>
          <w:szCs w:val="22"/>
        </w:rPr>
        <w:t xml:space="preserve"> AND DISCUSSION</w:t>
      </w:r>
    </w:p>
    <w:p w14:paraId="2A13EBFD" w14:textId="77777777" w:rsidR="00A675B4" w:rsidRPr="00947B35" w:rsidRDefault="00A675B4" w:rsidP="006E2E32">
      <w:pPr>
        <w:pStyle w:val="TAMainText"/>
        <w:spacing w:line="240" w:lineRule="auto"/>
        <w:ind w:firstLine="0"/>
        <w:rPr>
          <w:rFonts w:ascii="Century Gothic" w:hAnsi="Century Gothic"/>
          <w:b/>
          <w:color w:val="000000"/>
          <w:sz w:val="22"/>
          <w:szCs w:val="22"/>
        </w:rPr>
      </w:pPr>
    </w:p>
    <w:p w14:paraId="567A231E" w14:textId="3C046216" w:rsidR="004331E1" w:rsidRDefault="5EC82F99" w:rsidP="006E2E32">
      <w:pPr>
        <w:rPr>
          <w:rFonts w:ascii="Century Gothic" w:eastAsia="Century Gothic" w:hAnsi="Century Gothic" w:cs="Century Gothic"/>
          <w:b/>
          <w:bCs/>
          <w:color w:val="943634"/>
          <w:sz w:val="18"/>
          <w:szCs w:val="18"/>
        </w:rPr>
      </w:pPr>
      <w:proofErr w:type="gramStart"/>
      <w:r w:rsidRPr="00E00D7C">
        <w:rPr>
          <w:rFonts w:ascii="Century Gothic" w:eastAsia="Century Gothic" w:hAnsi="Century Gothic" w:cs="Century Gothic"/>
          <w:b/>
          <w:bCs/>
          <w:color w:val="943634"/>
          <w:sz w:val="18"/>
          <w:szCs w:val="18"/>
        </w:rPr>
        <w:t>3.1  Data</w:t>
      </w:r>
      <w:proofErr w:type="gramEnd"/>
      <w:r w:rsidRPr="00E00D7C">
        <w:rPr>
          <w:rFonts w:ascii="Century Gothic" w:eastAsia="Century Gothic" w:hAnsi="Century Gothic" w:cs="Century Gothic"/>
          <w:b/>
          <w:bCs/>
          <w:color w:val="943634"/>
          <w:sz w:val="18"/>
          <w:szCs w:val="18"/>
        </w:rPr>
        <w:t xml:space="preserve"> Description </w:t>
      </w:r>
    </w:p>
    <w:p w14:paraId="6CD47AFF" w14:textId="77777777" w:rsidR="00E00D7C" w:rsidRPr="00E00D7C" w:rsidRDefault="00E00D7C" w:rsidP="006E2E32">
      <w:pPr>
        <w:rPr>
          <w:rFonts w:ascii="Century Gothic" w:eastAsia="Century Gothic" w:hAnsi="Century Gothic" w:cs="Century Gothic"/>
          <w:b/>
          <w:bCs/>
          <w:color w:val="943634"/>
          <w:sz w:val="18"/>
          <w:szCs w:val="18"/>
        </w:rPr>
      </w:pPr>
    </w:p>
    <w:p w14:paraId="5E186ED8" w14:textId="79E6266F" w:rsidR="002139CA" w:rsidRDefault="00FA3FE8" w:rsidP="00F3357C">
      <w:pPr>
        <w:pStyle w:val="NormalWeb"/>
        <w:spacing w:before="0" w:beforeAutospacing="0" w:after="0" w:afterAutospacing="0"/>
        <w:jc w:val="both"/>
        <w:rPr>
          <w:rFonts w:ascii="Century Gothic" w:hAnsi="Century Gothic"/>
          <w:color w:val="000000"/>
          <w:sz w:val="18"/>
          <w:szCs w:val="18"/>
        </w:rPr>
      </w:pPr>
      <w:r w:rsidRPr="00FA3FE8">
        <w:rPr>
          <w:rFonts w:ascii="Century Gothic" w:hAnsi="Century Gothic"/>
          <w:color w:val="000000"/>
          <w:sz w:val="18"/>
          <w:szCs w:val="18"/>
        </w:rPr>
        <w:t xml:space="preserve">This dataset consists of 163 </w:t>
      </w:r>
      <w:r w:rsidR="00795FCE">
        <w:rPr>
          <w:rFonts w:ascii="Century Gothic" w:eastAsia="Century Gothic" w:hAnsi="Century Gothic" w:cs="Century Gothic"/>
          <w:sz w:val="18"/>
          <w:szCs w:val="18"/>
        </w:rPr>
        <w:t>daily</w:t>
      </w:r>
      <w:r w:rsidRPr="00FA3FE8">
        <w:rPr>
          <w:rFonts w:ascii="Century Gothic" w:hAnsi="Century Gothic"/>
          <w:color w:val="000000"/>
          <w:sz w:val="18"/>
          <w:szCs w:val="18"/>
        </w:rPr>
        <w:t xml:space="preserve"> closing price observations for PT Vale Indonesia </w:t>
      </w:r>
      <w:proofErr w:type="spellStart"/>
      <w:r w:rsidRPr="00FA3FE8">
        <w:rPr>
          <w:rFonts w:ascii="Century Gothic" w:hAnsi="Century Gothic"/>
          <w:color w:val="000000"/>
          <w:sz w:val="18"/>
          <w:szCs w:val="18"/>
        </w:rPr>
        <w:t>Tbk</w:t>
      </w:r>
      <w:proofErr w:type="spellEnd"/>
      <w:r w:rsidRPr="00FA3FE8">
        <w:rPr>
          <w:rFonts w:ascii="Century Gothic" w:hAnsi="Century Gothic"/>
          <w:color w:val="000000"/>
          <w:sz w:val="18"/>
          <w:szCs w:val="18"/>
        </w:rPr>
        <w:t xml:space="preserve"> (INCO) on the Indonesia Stock Exchange, expressed in Indonesian Rupiah (IDR). This complete dataset spans two structurally distinct price periods, separated by the implementation of a nickel ore export ban in Indonesia. Table </w:t>
      </w:r>
      <w:r w:rsidR="003F3773">
        <w:rPr>
          <w:rFonts w:ascii="Century Gothic" w:hAnsi="Century Gothic"/>
          <w:color w:val="000000"/>
          <w:sz w:val="18"/>
          <w:szCs w:val="18"/>
        </w:rPr>
        <w:t>3</w:t>
      </w:r>
      <w:r w:rsidRPr="00FA3FE8">
        <w:rPr>
          <w:rFonts w:ascii="Century Gothic" w:hAnsi="Century Gothic"/>
          <w:color w:val="000000"/>
          <w:sz w:val="18"/>
          <w:szCs w:val="18"/>
        </w:rPr>
        <w:t xml:space="preserve"> presents descriptive statistics for the complete data set, the two sub-periods defined by this intervention, and the training and testing partitions used in the model evaluation. The data is divided into two sections: 14</w:t>
      </w:r>
      <w:r w:rsidR="006E02C8">
        <w:rPr>
          <w:rFonts w:ascii="Century Gothic" w:hAnsi="Century Gothic"/>
          <w:color w:val="000000"/>
          <w:sz w:val="18"/>
          <w:szCs w:val="18"/>
        </w:rPr>
        <w:t>3</w:t>
      </w:r>
      <w:r w:rsidRPr="00FA3FE8">
        <w:rPr>
          <w:rFonts w:ascii="Century Gothic" w:hAnsi="Century Gothic"/>
          <w:color w:val="000000"/>
          <w:sz w:val="18"/>
          <w:szCs w:val="18"/>
        </w:rPr>
        <w:t xml:space="preserve"> training data points and 2</w:t>
      </w:r>
      <w:r w:rsidR="006E02C8">
        <w:rPr>
          <w:rFonts w:ascii="Century Gothic" w:hAnsi="Century Gothic"/>
          <w:color w:val="000000"/>
          <w:sz w:val="18"/>
          <w:szCs w:val="18"/>
        </w:rPr>
        <w:t>0</w:t>
      </w:r>
      <w:r w:rsidRPr="00FA3FE8">
        <w:rPr>
          <w:rFonts w:ascii="Century Gothic" w:hAnsi="Century Gothic"/>
          <w:color w:val="000000"/>
          <w:sz w:val="18"/>
          <w:szCs w:val="18"/>
        </w:rPr>
        <w:t xml:space="preserve"> testing data points.</w:t>
      </w:r>
    </w:p>
    <w:p w14:paraId="28CB83A1" w14:textId="77777777" w:rsidR="00D93B04" w:rsidRDefault="00D93B04" w:rsidP="006E2E32">
      <w:pPr>
        <w:pStyle w:val="NormalWeb"/>
        <w:spacing w:before="0" w:beforeAutospacing="0" w:after="0" w:afterAutospacing="0"/>
        <w:ind w:firstLine="284"/>
        <w:jc w:val="both"/>
        <w:rPr>
          <w:rFonts w:ascii="Century Gothic" w:hAnsi="Century Gothic"/>
          <w:color w:val="000000"/>
          <w:sz w:val="18"/>
          <w:szCs w:val="18"/>
        </w:rPr>
      </w:pPr>
    </w:p>
    <w:p w14:paraId="1EDAEB0D" w14:textId="77777777" w:rsidR="000F687C" w:rsidRPr="00FA3FE8" w:rsidRDefault="000F687C" w:rsidP="006E2E32">
      <w:pPr>
        <w:pStyle w:val="NormalWeb"/>
        <w:spacing w:before="0" w:beforeAutospacing="0" w:after="0" w:afterAutospacing="0"/>
        <w:ind w:firstLine="284"/>
        <w:jc w:val="both"/>
        <w:rPr>
          <w:rFonts w:ascii="Century Gothic" w:hAnsi="Century Gothic"/>
          <w:color w:val="000000"/>
          <w:sz w:val="18"/>
          <w:szCs w:val="18"/>
        </w:rPr>
      </w:pPr>
    </w:p>
    <w:p w14:paraId="7B78133D" w14:textId="77777777" w:rsidR="000F687C" w:rsidRDefault="000F687C" w:rsidP="006E2E32">
      <w:pPr>
        <w:jc w:val="center"/>
        <w:rPr>
          <w:rFonts w:ascii="Century Gothic" w:eastAsia="Century Gothic" w:hAnsi="Century Gothic" w:cs="Century Gothic"/>
          <w:b/>
          <w:bCs/>
          <w:sz w:val="18"/>
          <w:szCs w:val="18"/>
        </w:rPr>
        <w:sectPr w:rsidR="000F687C" w:rsidSect="0073658A">
          <w:type w:val="continuous"/>
          <w:pgSz w:w="12240" w:h="15840" w:code="1"/>
          <w:pgMar w:top="720" w:right="1094" w:bottom="950" w:left="1094" w:header="720" w:footer="720" w:gutter="0"/>
          <w:cols w:num="2" w:space="709"/>
        </w:sectPr>
      </w:pPr>
    </w:p>
    <w:p w14:paraId="2D132179" w14:textId="51F7F473" w:rsidR="00BA4AE5" w:rsidRPr="00BA4AE5" w:rsidRDefault="5EC82F99" w:rsidP="006E2E32">
      <w:pPr>
        <w:jc w:val="center"/>
        <w:rPr>
          <w:rFonts w:ascii="Century Gothic" w:eastAsia="Century Gothic" w:hAnsi="Century Gothic" w:cs="Century Gothic"/>
          <w:sz w:val="18"/>
          <w:szCs w:val="18"/>
        </w:rPr>
      </w:pPr>
      <w:r w:rsidRPr="5EC82F99">
        <w:rPr>
          <w:rFonts w:ascii="Century Gothic" w:eastAsia="Century Gothic" w:hAnsi="Century Gothic" w:cs="Century Gothic"/>
          <w:b/>
          <w:bCs/>
          <w:sz w:val="18"/>
          <w:szCs w:val="18"/>
        </w:rPr>
        <w:lastRenderedPageBreak/>
        <w:t xml:space="preserve">Table </w:t>
      </w:r>
      <w:r w:rsidR="00795FCE">
        <w:rPr>
          <w:rFonts w:ascii="Century Gothic" w:eastAsia="Century Gothic" w:hAnsi="Century Gothic" w:cs="Century Gothic"/>
          <w:b/>
          <w:bCs/>
          <w:sz w:val="18"/>
          <w:szCs w:val="18"/>
        </w:rPr>
        <w:t>3.</w:t>
      </w:r>
      <w:r w:rsidRPr="5EC82F99">
        <w:rPr>
          <w:rFonts w:ascii="Century Gothic" w:eastAsia="Century Gothic" w:hAnsi="Century Gothic" w:cs="Century Gothic"/>
          <w:b/>
          <w:bCs/>
          <w:sz w:val="18"/>
          <w:szCs w:val="18"/>
        </w:rPr>
        <w:t xml:space="preserve"> </w:t>
      </w:r>
      <w:r w:rsidR="005C64E2" w:rsidRPr="005C64E2">
        <w:rPr>
          <w:rFonts w:ascii="Century Gothic" w:eastAsia="Century Gothic" w:hAnsi="Century Gothic" w:cs="Century Gothic"/>
          <w:sz w:val="18"/>
          <w:szCs w:val="18"/>
        </w:rPr>
        <w:t>Descriptive statistics of INCO daily closing prices across evaluation periods.</w:t>
      </w:r>
    </w:p>
    <w:tbl>
      <w:tblPr>
        <w:tblW w:w="0" w:type="auto"/>
        <w:tblLayout w:type="fixed"/>
        <w:tblLook w:val="04A0" w:firstRow="1" w:lastRow="0" w:firstColumn="1" w:lastColumn="0" w:noHBand="0" w:noVBand="1"/>
      </w:tblPr>
      <w:tblGrid>
        <w:gridCol w:w="1674"/>
        <w:gridCol w:w="1676"/>
        <w:gridCol w:w="1675"/>
        <w:gridCol w:w="1677"/>
        <w:gridCol w:w="1675"/>
        <w:gridCol w:w="1675"/>
      </w:tblGrid>
      <w:tr w:rsidR="5EC82F99" w14:paraId="03EF0B53" w14:textId="77777777" w:rsidTr="000F687C">
        <w:trPr>
          <w:cantSplit/>
          <w:trHeight w:val="265"/>
        </w:trPr>
        <w:tc>
          <w:tcPr>
            <w:tcW w:w="1674" w:type="dxa"/>
            <w:tcBorders>
              <w:top w:val="single" w:sz="8" w:space="0" w:color="auto"/>
              <w:left w:val="nil"/>
              <w:bottom w:val="single" w:sz="4" w:space="0" w:color="auto"/>
              <w:right w:val="nil"/>
            </w:tcBorders>
            <w:tcMar>
              <w:top w:w="30" w:type="dxa"/>
              <w:left w:w="45" w:type="dxa"/>
              <w:bottom w:w="30" w:type="dxa"/>
              <w:right w:w="45" w:type="dxa"/>
            </w:tcMar>
            <w:vAlign w:val="center"/>
          </w:tcPr>
          <w:p w14:paraId="00481E49" w14:textId="28E657E8" w:rsidR="5EC82F99" w:rsidRDefault="5EC82F99" w:rsidP="000F687C">
            <w:pPr>
              <w:jc w:val="center"/>
            </w:pPr>
            <w:r w:rsidRPr="5EC82F99">
              <w:rPr>
                <w:rFonts w:ascii="Century Gothic" w:eastAsia="Century Gothic" w:hAnsi="Century Gothic" w:cs="Century Gothic"/>
                <w:b/>
                <w:bCs/>
                <w:sz w:val="18"/>
                <w:szCs w:val="18"/>
              </w:rPr>
              <w:t>Statistic</w:t>
            </w:r>
          </w:p>
        </w:tc>
        <w:tc>
          <w:tcPr>
            <w:tcW w:w="1676" w:type="dxa"/>
            <w:tcBorders>
              <w:top w:val="single" w:sz="8" w:space="0" w:color="auto"/>
              <w:left w:val="nil"/>
              <w:bottom w:val="single" w:sz="4" w:space="0" w:color="auto"/>
              <w:right w:val="nil"/>
            </w:tcBorders>
            <w:tcMar>
              <w:top w:w="30" w:type="dxa"/>
              <w:left w:w="45" w:type="dxa"/>
              <w:bottom w:w="30" w:type="dxa"/>
              <w:right w:w="45" w:type="dxa"/>
            </w:tcMar>
            <w:vAlign w:val="center"/>
          </w:tcPr>
          <w:p w14:paraId="2AF39470" w14:textId="0D110BEE" w:rsidR="5EC82F99" w:rsidRDefault="5EC82F99" w:rsidP="000F687C">
            <w:pPr>
              <w:jc w:val="center"/>
            </w:pPr>
            <w:r w:rsidRPr="5EC82F99">
              <w:rPr>
                <w:rFonts w:ascii="Century Gothic" w:eastAsia="Century Gothic" w:hAnsi="Century Gothic" w:cs="Century Gothic"/>
                <w:b/>
                <w:bCs/>
                <w:sz w:val="18"/>
                <w:szCs w:val="18"/>
              </w:rPr>
              <w:t>Full Series</w:t>
            </w:r>
          </w:p>
        </w:tc>
        <w:tc>
          <w:tcPr>
            <w:tcW w:w="1675" w:type="dxa"/>
            <w:tcBorders>
              <w:top w:val="single" w:sz="8" w:space="0" w:color="auto"/>
              <w:left w:val="nil"/>
              <w:bottom w:val="single" w:sz="4" w:space="0" w:color="auto"/>
              <w:right w:val="nil"/>
            </w:tcBorders>
            <w:tcMar>
              <w:top w:w="30" w:type="dxa"/>
              <w:left w:w="45" w:type="dxa"/>
              <w:bottom w:w="30" w:type="dxa"/>
              <w:right w:w="45" w:type="dxa"/>
            </w:tcMar>
            <w:vAlign w:val="center"/>
          </w:tcPr>
          <w:p w14:paraId="754C932A" w14:textId="5FCDF202" w:rsidR="5EC82F99" w:rsidRDefault="5EC82F99" w:rsidP="000F687C">
            <w:pPr>
              <w:jc w:val="center"/>
            </w:pPr>
            <w:r w:rsidRPr="5EC82F99">
              <w:rPr>
                <w:rFonts w:ascii="Century Gothic" w:eastAsia="Century Gothic" w:hAnsi="Century Gothic" w:cs="Century Gothic"/>
                <w:b/>
                <w:bCs/>
                <w:sz w:val="18"/>
                <w:szCs w:val="18"/>
              </w:rPr>
              <w:t>Pre-Intervention</w:t>
            </w:r>
          </w:p>
        </w:tc>
        <w:tc>
          <w:tcPr>
            <w:tcW w:w="1677" w:type="dxa"/>
            <w:tcBorders>
              <w:top w:val="single" w:sz="8" w:space="0" w:color="auto"/>
              <w:left w:val="nil"/>
              <w:bottom w:val="single" w:sz="4" w:space="0" w:color="auto"/>
              <w:right w:val="nil"/>
            </w:tcBorders>
            <w:tcMar>
              <w:top w:w="30" w:type="dxa"/>
              <w:left w:w="45" w:type="dxa"/>
              <w:bottom w:w="30" w:type="dxa"/>
              <w:right w:w="45" w:type="dxa"/>
            </w:tcMar>
            <w:vAlign w:val="center"/>
          </w:tcPr>
          <w:p w14:paraId="6FB96493" w14:textId="2B8D6B9F" w:rsidR="5EC82F99" w:rsidRDefault="5EC82F99" w:rsidP="000F687C">
            <w:pPr>
              <w:jc w:val="center"/>
            </w:pPr>
            <w:r w:rsidRPr="5EC82F99">
              <w:rPr>
                <w:rFonts w:ascii="Century Gothic" w:eastAsia="Century Gothic" w:hAnsi="Century Gothic" w:cs="Century Gothic"/>
                <w:b/>
                <w:bCs/>
                <w:sz w:val="18"/>
                <w:szCs w:val="18"/>
              </w:rPr>
              <w:t>Post-Intervention</w:t>
            </w:r>
          </w:p>
        </w:tc>
        <w:tc>
          <w:tcPr>
            <w:tcW w:w="1675" w:type="dxa"/>
            <w:tcBorders>
              <w:top w:val="single" w:sz="8" w:space="0" w:color="auto"/>
              <w:left w:val="nil"/>
              <w:bottom w:val="single" w:sz="4" w:space="0" w:color="auto"/>
              <w:right w:val="nil"/>
            </w:tcBorders>
            <w:tcMar>
              <w:top w:w="30" w:type="dxa"/>
              <w:left w:w="45" w:type="dxa"/>
              <w:bottom w:w="30" w:type="dxa"/>
              <w:right w:w="45" w:type="dxa"/>
            </w:tcMar>
            <w:vAlign w:val="center"/>
          </w:tcPr>
          <w:p w14:paraId="7975014E" w14:textId="437CEC68" w:rsidR="5EC82F99" w:rsidRDefault="5EC82F99" w:rsidP="000F687C">
            <w:pPr>
              <w:jc w:val="center"/>
            </w:pPr>
            <w:r w:rsidRPr="5EC82F99">
              <w:rPr>
                <w:rFonts w:ascii="Century Gothic" w:eastAsia="Century Gothic" w:hAnsi="Century Gothic" w:cs="Century Gothic"/>
                <w:b/>
                <w:bCs/>
                <w:sz w:val="18"/>
                <w:szCs w:val="18"/>
              </w:rPr>
              <w:t>Training Set</w:t>
            </w:r>
          </w:p>
        </w:tc>
        <w:tc>
          <w:tcPr>
            <w:tcW w:w="1675" w:type="dxa"/>
            <w:tcBorders>
              <w:top w:val="single" w:sz="8" w:space="0" w:color="auto"/>
              <w:left w:val="nil"/>
              <w:bottom w:val="single" w:sz="4" w:space="0" w:color="auto"/>
              <w:right w:val="nil"/>
            </w:tcBorders>
            <w:tcMar>
              <w:top w:w="30" w:type="dxa"/>
              <w:left w:w="45" w:type="dxa"/>
              <w:bottom w:w="30" w:type="dxa"/>
              <w:right w:w="45" w:type="dxa"/>
            </w:tcMar>
            <w:vAlign w:val="center"/>
          </w:tcPr>
          <w:p w14:paraId="75B7A67E" w14:textId="78E8DC2A" w:rsidR="5EC82F99" w:rsidRDefault="5EC82F99" w:rsidP="000F687C">
            <w:pPr>
              <w:jc w:val="center"/>
            </w:pPr>
            <w:r w:rsidRPr="5EC82F99">
              <w:rPr>
                <w:rFonts w:ascii="Century Gothic" w:eastAsia="Century Gothic" w:hAnsi="Century Gothic" w:cs="Century Gothic"/>
                <w:b/>
                <w:bCs/>
                <w:sz w:val="18"/>
                <w:szCs w:val="18"/>
              </w:rPr>
              <w:t>Testing Set</w:t>
            </w:r>
          </w:p>
        </w:tc>
      </w:tr>
      <w:tr w:rsidR="00A60516" w14:paraId="016D4DE4" w14:textId="77777777" w:rsidTr="000F687C">
        <w:trPr>
          <w:cantSplit/>
          <w:trHeight w:val="441"/>
        </w:trPr>
        <w:tc>
          <w:tcPr>
            <w:tcW w:w="1674" w:type="dxa"/>
            <w:tcBorders>
              <w:top w:val="single" w:sz="4" w:space="0" w:color="auto"/>
              <w:left w:val="nil"/>
              <w:right w:val="nil"/>
            </w:tcBorders>
            <w:tcMar>
              <w:top w:w="30" w:type="dxa"/>
              <w:left w:w="45" w:type="dxa"/>
              <w:bottom w:w="30" w:type="dxa"/>
              <w:right w:w="45" w:type="dxa"/>
            </w:tcMar>
            <w:vAlign w:val="center"/>
          </w:tcPr>
          <w:p w14:paraId="24ABA8F4" w14:textId="0832A699" w:rsidR="00A60516" w:rsidRPr="00A60516" w:rsidRDefault="00A60516" w:rsidP="000F687C">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N</w:t>
            </w:r>
          </w:p>
        </w:tc>
        <w:tc>
          <w:tcPr>
            <w:tcW w:w="1676" w:type="dxa"/>
            <w:tcBorders>
              <w:top w:val="single" w:sz="4" w:space="0" w:color="auto"/>
              <w:left w:val="nil"/>
              <w:right w:val="nil"/>
            </w:tcBorders>
            <w:tcMar>
              <w:top w:w="30" w:type="dxa"/>
              <w:left w:w="45" w:type="dxa"/>
              <w:bottom w:w="30" w:type="dxa"/>
              <w:right w:w="45" w:type="dxa"/>
            </w:tcMar>
            <w:vAlign w:val="center"/>
          </w:tcPr>
          <w:p w14:paraId="687D6A76" w14:textId="5230BB45" w:rsidR="00A60516" w:rsidRPr="00A60516" w:rsidRDefault="00A60516" w:rsidP="000F687C">
            <w:pPr>
              <w:jc w:val="center"/>
              <w:rPr>
                <w:rFonts w:ascii="Century Gothic" w:eastAsia="Century Gothic" w:hAnsi="Century Gothic" w:cs="Century Gothic"/>
                <w:sz w:val="18"/>
                <w:szCs w:val="18"/>
              </w:rPr>
            </w:pPr>
            <w:r w:rsidRPr="00A60516">
              <w:rPr>
                <w:rFonts w:ascii="Century Gothic" w:eastAsia="Century Gothic" w:hAnsi="Century Gothic" w:cs="Century Gothic"/>
                <w:sz w:val="18"/>
                <w:szCs w:val="18"/>
              </w:rPr>
              <w:t>163</w:t>
            </w:r>
          </w:p>
        </w:tc>
        <w:tc>
          <w:tcPr>
            <w:tcW w:w="1675" w:type="dxa"/>
            <w:tcBorders>
              <w:top w:val="single" w:sz="4" w:space="0" w:color="auto"/>
              <w:left w:val="nil"/>
              <w:right w:val="nil"/>
            </w:tcBorders>
            <w:tcMar>
              <w:top w:w="30" w:type="dxa"/>
              <w:left w:w="45" w:type="dxa"/>
              <w:bottom w:w="30" w:type="dxa"/>
              <w:right w:w="45" w:type="dxa"/>
            </w:tcMar>
            <w:vAlign w:val="center"/>
          </w:tcPr>
          <w:p w14:paraId="2E6A1832" w14:textId="52D02B47" w:rsidR="00A60516" w:rsidRPr="00A60516" w:rsidRDefault="00A60516" w:rsidP="000F687C">
            <w:pPr>
              <w:jc w:val="center"/>
              <w:rPr>
                <w:rFonts w:ascii="Century Gothic" w:eastAsia="Century Gothic" w:hAnsi="Century Gothic" w:cs="Century Gothic"/>
                <w:sz w:val="18"/>
                <w:szCs w:val="18"/>
              </w:rPr>
            </w:pPr>
            <w:r w:rsidRPr="00A60516">
              <w:rPr>
                <w:rFonts w:ascii="Century Gothic" w:eastAsia="Century Gothic" w:hAnsi="Century Gothic" w:cs="Century Gothic"/>
                <w:sz w:val="18"/>
                <w:szCs w:val="18"/>
              </w:rPr>
              <w:t>121</w:t>
            </w:r>
          </w:p>
        </w:tc>
        <w:tc>
          <w:tcPr>
            <w:tcW w:w="1677" w:type="dxa"/>
            <w:tcBorders>
              <w:top w:val="single" w:sz="4" w:space="0" w:color="auto"/>
              <w:left w:val="nil"/>
              <w:right w:val="nil"/>
            </w:tcBorders>
            <w:tcMar>
              <w:top w:w="30" w:type="dxa"/>
              <w:left w:w="45" w:type="dxa"/>
              <w:bottom w:w="30" w:type="dxa"/>
              <w:right w:w="45" w:type="dxa"/>
            </w:tcMar>
            <w:vAlign w:val="center"/>
          </w:tcPr>
          <w:p w14:paraId="372EFC26" w14:textId="3C1E257C" w:rsidR="00A60516" w:rsidRPr="00A60516" w:rsidRDefault="00A60516" w:rsidP="000F687C">
            <w:pPr>
              <w:jc w:val="center"/>
              <w:rPr>
                <w:rFonts w:ascii="Century Gothic" w:eastAsia="Century Gothic" w:hAnsi="Century Gothic" w:cs="Century Gothic"/>
                <w:sz w:val="18"/>
                <w:szCs w:val="18"/>
              </w:rPr>
            </w:pPr>
            <w:r w:rsidRPr="00A60516">
              <w:rPr>
                <w:rFonts w:ascii="Century Gothic" w:eastAsia="Century Gothic" w:hAnsi="Century Gothic" w:cs="Century Gothic"/>
                <w:sz w:val="18"/>
                <w:szCs w:val="18"/>
              </w:rPr>
              <w:t>42</w:t>
            </w:r>
          </w:p>
        </w:tc>
        <w:tc>
          <w:tcPr>
            <w:tcW w:w="1675" w:type="dxa"/>
            <w:tcBorders>
              <w:top w:val="single" w:sz="4" w:space="0" w:color="auto"/>
              <w:left w:val="nil"/>
              <w:right w:val="nil"/>
            </w:tcBorders>
            <w:tcMar>
              <w:top w:w="30" w:type="dxa"/>
              <w:left w:w="45" w:type="dxa"/>
              <w:bottom w:w="30" w:type="dxa"/>
              <w:right w:w="45" w:type="dxa"/>
            </w:tcMar>
            <w:vAlign w:val="center"/>
          </w:tcPr>
          <w:p w14:paraId="208C0A4F" w14:textId="0F10A8FE" w:rsidR="00A60516" w:rsidRPr="00A60516" w:rsidRDefault="00A60516" w:rsidP="000F687C">
            <w:pPr>
              <w:jc w:val="center"/>
              <w:rPr>
                <w:rFonts w:ascii="Century Gothic" w:eastAsia="Century Gothic" w:hAnsi="Century Gothic" w:cs="Century Gothic"/>
                <w:sz w:val="18"/>
                <w:szCs w:val="18"/>
              </w:rPr>
            </w:pPr>
            <w:r w:rsidRPr="00A60516">
              <w:rPr>
                <w:rFonts w:ascii="Century Gothic" w:eastAsia="Century Gothic" w:hAnsi="Century Gothic" w:cs="Century Gothic"/>
                <w:sz w:val="18"/>
                <w:szCs w:val="18"/>
              </w:rPr>
              <w:t>142</w:t>
            </w:r>
          </w:p>
        </w:tc>
        <w:tc>
          <w:tcPr>
            <w:tcW w:w="1675" w:type="dxa"/>
            <w:tcBorders>
              <w:top w:val="single" w:sz="4" w:space="0" w:color="auto"/>
              <w:left w:val="nil"/>
              <w:right w:val="nil"/>
            </w:tcBorders>
            <w:tcMar>
              <w:top w:w="30" w:type="dxa"/>
              <w:left w:w="45" w:type="dxa"/>
              <w:bottom w:w="30" w:type="dxa"/>
              <w:right w:w="45" w:type="dxa"/>
            </w:tcMar>
            <w:vAlign w:val="center"/>
          </w:tcPr>
          <w:p w14:paraId="37743DA2" w14:textId="7BDC6B1C" w:rsidR="00A60516" w:rsidRPr="00A60516" w:rsidRDefault="00A60516" w:rsidP="000F687C">
            <w:pPr>
              <w:jc w:val="center"/>
              <w:rPr>
                <w:rFonts w:ascii="Century Gothic" w:eastAsia="Century Gothic" w:hAnsi="Century Gothic" w:cs="Century Gothic"/>
                <w:sz w:val="18"/>
                <w:szCs w:val="18"/>
              </w:rPr>
            </w:pPr>
            <w:r w:rsidRPr="00A60516">
              <w:rPr>
                <w:rFonts w:ascii="Century Gothic" w:eastAsia="Century Gothic" w:hAnsi="Century Gothic" w:cs="Century Gothic"/>
                <w:sz w:val="18"/>
                <w:szCs w:val="18"/>
              </w:rPr>
              <w:t>20</w:t>
            </w:r>
          </w:p>
        </w:tc>
      </w:tr>
      <w:tr w:rsidR="5EC82F99" w14:paraId="0A1C2D23" w14:textId="77777777" w:rsidTr="000F687C">
        <w:trPr>
          <w:trHeight w:val="441"/>
        </w:trPr>
        <w:tc>
          <w:tcPr>
            <w:tcW w:w="1674" w:type="dxa"/>
            <w:tcBorders>
              <w:left w:val="nil"/>
              <w:bottom w:val="nil"/>
              <w:right w:val="nil"/>
            </w:tcBorders>
            <w:tcMar>
              <w:top w:w="30" w:type="dxa"/>
              <w:left w:w="45" w:type="dxa"/>
              <w:bottom w:w="30" w:type="dxa"/>
              <w:right w:w="45" w:type="dxa"/>
            </w:tcMar>
            <w:vAlign w:val="center"/>
          </w:tcPr>
          <w:p w14:paraId="6701784D" w14:textId="38873181" w:rsidR="5EC82F99" w:rsidRDefault="5EC82F99" w:rsidP="000F687C">
            <w:pPr>
              <w:jc w:val="center"/>
            </w:pPr>
            <w:r w:rsidRPr="5EC82F99">
              <w:rPr>
                <w:rFonts w:ascii="Century Gothic" w:eastAsia="Century Gothic" w:hAnsi="Century Gothic" w:cs="Century Gothic"/>
                <w:sz w:val="18"/>
                <w:szCs w:val="18"/>
              </w:rPr>
              <w:t>Minimum (IDR)</w:t>
            </w:r>
          </w:p>
        </w:tc>
        <w:tc>
          <w:tcPr>
            <w:tcW w:w="1676" w:type="dxa"/>
            <w:tcBorders>
              <w:left w:val="nil"/>
              <w:bottom w:val="nil"/>
              <w:right w:val="nil"/>
            </w:tcBorders>
            <w:tcMar>
              <w:top w:w="30" w:type="dxa"/>
              <w:left w:w="45" w:type="dxa"/>
              <w:bottom w:w="30" w:type="dxa"/>
              <w:right w:w="45" w:type="dxa"/>
            </w:tcMar>
            <w:vAlign w:val="center"/>
          </w:tcPr>
          <w:p w14:paraId="19F73F31" w14:textId="66A8BE71" w:rsidR="5EC82F99" w:rsidRDefault="5EC82F99" w:rsidP="000F687C">
            <w:pPr>
              <w:jc w:val="center"/>
            </w:pPr>
            <w:r w:rsidRPr="5EC82F99">
              <w:rPr>
                <w:rFonts w:ascii="Century Gothic" w:eastAsia="Century Gothic" w:hAnsi="Century Gothic" w:cs="Century Gothic"/>
                <w:sz w:val="18"/>
                <w:szCs w:val="18"/>
              </w:rPr>
              <w:t>3,31</w:t>
            </w:r>
          </w:p>
        </w:tc>
        <w:tc>
          <w:tcPr>
            <w:tcW w:w="1675" w:type="dxa"/>
            <w:tcBorders>
              <w:left w:val="nil"/>
              <w:bottom w:val="nil"/>
              <w:right w:val="nil"/>
            </w:tcBorders>
            <w:tcMar>
              <w:top w:w="30" w:type="dxa"/>
              <w:left w:w="45" w:type="dxa"/>
              <w:bottom w:w="30" w:type="dxa"/>
              <w:right w:w="45" w:type="dxa"/>
            </w:tcMar>
            <w:vAlign w:val="center"/>
          </w:tcPr>
          <w:p w14:paraId="7E623CF4" w14:textId="78B76B0C" w:rsidR="5EC82F99" w:rsidRDefault="5EC82F99" w:rsidP="000F687C">
            <w:pPr>
              <w:jc w:val="center"/>
            </w:pPr>
            <w:r w:rsidRPr="5EC82F99">
              <w:rPr>
                <w:rFonts w:ascii="Century Gothic" w:eastAsia="Century Gothic" w:hAnsi="Century Gothic" w:cs="Century Gothic"/>
                <w:sz w:val="18"/>
                <w:szCs w:val="18"/>
              </w:rPr>
              <w:t>3,31</w:t>
            </w:r>
          </w:p>
        </w:tc>
        <w:tc>
          <w:tcPr>
            <w:tcW w:w="1677" w:type="dxa"/>
            <w:tcBorders>
              <w:left w:val="nil"/>
              <w:bottom w:val="nil"/>
              <w:right w:val="nil"/>
            </w:tcBorders>
            <w:tcMar>
              <w:top w:w="30" w:type="dxa"/>
              <w:left w:w="45" w:type="dxa"/>
              <w:bottom w:w="30" w:type="dxa"/>
              <w:right w:w="45" w:type="dxa"/>
            </w:tcMar>
            <w:vAlign w:val="center"/>
          </w:tcPr>
          <w:p w14:paraId="7CE01A8E" w14:textId="3783F474" w:rsidR="5EC82F99" w:rsidRDefault="5EC82F99" w:rsidP="000F687C">
            <w:pPr>
              <w:jc w:val="center"/>
            </w:pPr>
            <w:r w:rsidRPr="5EC82F99">
              <w:rPr>
                <w:rFonts w:ascii="Century Gothic" w:eastAsia="Century Gothic" w:hAnsi="Century Gothic" w:cs="Century Gothic"/>
                <w:sz w:val="18"/>
                <w:szCs w:val="18"/>
              </w:rPr>
              <w:t>4,11</w:t>
            </w:r>
          </w:p>
        </w:tc>
        <w:tc>
          <w:tcPr>
            <w:tcW w:w="1675" w:type="dxa"/>
            <w:tcBorders>
              <w:left w:val="nil"/>
              <w:bottom w:val="nil"/>
              <w:right w:val="nil"/>
            </w:tcBorders>
            <w:tcMar>
              <w:top w:w="30" w:type="dxa"/>
              <w:left w:w="45" w:type="dxa"/>
              <w:bottom w:w="30" w:type="dxa"/>
              <w:right w:w="45" w:type="dxa"/>
            </w:tcMar>
            <w:vAlign w:val="center"/>
          </w:tcPr>
          <w:p w14:paraId="4F44D1FE" w14:textId="1DBB18FF" w:rsidR="5EC82F99" w:rsidRDefault="5EC82F99" w:rsidP="000F687C">
            <w:pPr>
              <w:jc w:val="center"/>
            </w:pPr>
            <w:r w:rsidRPr="5EC82F99">
              <w:rPr>
                <w:rFonts w:ascii="Century Gothic" w:eastAsia="Century Gothic" w:hAnsi="Century Gothic" w:cs="Century Gothic"/>
                <w:sz w:val="18"/>
                <w:szCs w:val="18"/>
              </w:rPr>
              <w:t>3,31</w:t>
            </w:r>
          </w:p>
        </w:tc>
        <w:tc>
          <w:tcPr>
            <w:tcW w:w="1675" w:type="dxa"/>
            <w:tcBorders>
              <w:left w:val="nil"/>
              <w:bottom w:val="nil"/>
              <w:right w:val="nil"/>
            </w:tcBorders>
            <w:tcMar>
              <w:top w:w="30" w:type="dxa"/>
              <w:left w:w="45" w:type="dxa"/>
              <w:bottom w:w="30" w:type="dxa"/>
              <w:right w:w="45" w:type="dxa"/>
            </w:tcMar>
            <w:vAlign w:val="center"/>
          </w:tcPr>
          <w:p w14:paraId="78F0E2B8" w14:textId="07C68B48" w:rsidR="5EC82F99" w:rsidRDefault="5EC82F99" w:rsidP="000F687C">
            <w:pPr>
              <w:jc w:val="center"/>
            </w:pPr>
            <w:r w:rsidRPr="5EC82F99">
              <w:rPr>
                <w:rFonts w:ascii="Century Gothic" w:eastAsia="Century Gothic" w:hAnsi="Century Gothic" w:cs="Century Gothic"/>
                <w:sz w:val="18"/>
                <w:szCs w:val="18"/>
              </w:rPr>
              <w:t>5,925</w:t>
            </w:r>
          </w:p>
        </w:tc>
      </w:tr>
      <w:tr w:rsidR="5EC82F99" w14:paraId="338A78DB" w14:textId="77777777" w:rsidTr="000F687C">
        <w:trPr>
          <w:trHeight w:val="441"/>
        </w:trPr>
        <w:tc>
          <w:tcPr>
            <w:tcW w:w="1674" w:type="dxa"/>
            <w:tcBorders>
              <w:top w:val="nil"/>
              <w:left w:val="nil"/>
              <w:bottom w:val="nil"/>
              <w:right w:val="nil"/>
            </w:tcBorders>
            <w:tcMar>
              <w:top w:w="30" w:type="dxa"/>
              <w:left w:w="45" w:type="dxa"/>
              <w:bottom w:w="30" w:type="dxa"/>
              <w:right w:w="45" w:type="dxa"/>
            </w:tcMar>
            <w:vAlign w:val="center"/>
          </w:tcPr>
          <w:p w14:paraId="2FA31F90" w14:textId="335490E4" w:rsidR="5EC82F99" w:rsidRDefault="5EC82F99" w:rsidP="000F687C">
            <w:pPr>
              <w:jc w:val="center"/>
            </w:pPr>
            <w:r w:rsidRPr="5EC82F99">
              <w:rPr>
                <w:rFonts w:ascii="Century Gothic" w:eastAsia="Century Gothic" w:hAnsi="Century Gothic" w:cs="Century Gothic"/>
                <w:sz w:val="18"/>
                <w:szCs w:val="18"/>
              </w:rPr>
              <w:t>Maximum (IDR)</w:t>
            </w:r>
          </w:p>
        </w:tc>
        <w:tc>
          <w:tcPr>
            <w:tcW w:w="1676" w:type="dxa"/>
            <w:tcBorders>
              <w:top w:val="nil"/>
              <w:left w:val="nil"/>
              <w:bottom w:val="nil"/>
              <w:right w:val="nil"/>
            </w:tcBorders>
            <w:tcMar>
              <w:top w:w="30" w:type="dxa"/>
              <w:left w:w="45" w:type="dxa"/>
              <w:bottom w:w="30" w:type="dxa"/>
              <w:right w:w="45" w:type="dxa"/>
            </w:tcMar>
            <w:vAlign w:val="center"/>
          </w:tcPr>
          <w:p w14:paraId="1CF2FFD0" w14:textId="05C8FA24" w:rsidR="5EC82F99" w:rsidRDefault="5EC82F99" w:rsidP="000F687C">
            <w:pPr>
              <w:jc w:val="center"/>
            </w:pPr>
            <w:r w:rsidRPr="5EC82F99">
              <w:rPr>
                <w:rFonts w:ascii="Century Gothic" w:eastAsia="Century Gothic" w:hAnsi="Century Gothic" w:cs="Century Gothic"/>
                <w:sz w:val="18"/>
                <w:szCs w:val="18"/>
              </w:rPr>
              <w:t>7,35</w:t>
            </w:r>
          </w:p>
        </w:tc>
        <w:tc>
          <w:tcPr>
            <w:tcW w:w="1675" w:type="dxa"/>
            <w:tcBorders>
              <w:top w:val="nil"/>
              <w:left w:val="nil"/>
              <w:bottom w:val="nil"/>
              <w:right w:val="nil"/>
            </w:tcBorders>
            <w:tcMar>
              <w:top w:w="30" w:type="dxa"/>
              <w:left w:w="45" w:type="dxa"/>
              <w:bottom w:w="30" w:type="dxa"/>
              <w:right w:w="45" w:type="dxa"/>
            </w:tcMar>
            <w:vAlign w:val="center"/>
          </w:tcPr>
          <w:p w14:paraId="2046F646" w14:textId="7AD4414C" w:rsidR="5EC82F99" w:rsidRDefault="5EC82F99" w:rsidP="000F687C">
            <w:pPr>
              <w:jc w:val="center"/>
            </w:pPr>
            <w:r w:rsidRPr="5EC82F99">
              <w:rPr>
                <w:rFonts w:ascii="Century Gothic" w:eastAsia="Century Gothic" w:hAnsi="Century Gothic" w:cs="Century Gothic"/>
                <w:sz w:val="18"/>
                <w:szCs w:val="18"/>
              </w:rPr>
              <w:t>4,75</w:t>
            </w:r>
          </w:p>
        </w:tc>
        <w:tc>
          <w:tcPr>
            <w:tcW w:w="1677" w:type="dxa"/>
            <w:tcBorders>
              <w:top w:val="nil"/>
              <w:left w:val="nil"/>
              <w:bottom w:val="nil"/>
              <w:right w:val="nil"/>
            </w:tcBorders>
            <w:tcMar>
              <w:top w:w="30" w:type="dxa"/>
              <w:left w:w="45" w:type="dxa"/>
              <w:bottom w:w="30" w:type="dxa"/>
              <w:right w:w="45" w:type="dxa"/>
            </w:tcMar>
            <w:vAlign w:val="center"/>
          </w:tcPr>
          <w:p w14:paraId="598088B2" w14:textId="6C9B7A23" w:rsidR="5EC82F99" w:rsidRDefault="5EC82F99" w:rsidP="000F687C">
            <w:pPr>
              <w:jc w:val="center"/>
            </w:pPr>
            <w:r w:rsidRPr="5EC82F99">
              <w:rPr>
                <w:rFonts w:ascii="Century Gothic" w:eastAsia="Century Gothic" w:hAnsi="Century Gothic" w:cs="Century Gothic"/>
                <w:sz w:val="18"/>
                <w:szCs w:val="18"/>
              </w:rPr>
              <w:t>7,35</w:t>
            </w:r>
          </w:p>
        </w:tc>
        <w:tc>
          <w:tcPr>
            <w:tcW w:w="1675" w:type="dxa"/>
            <w:tcBorders>
              <w:top w:val="nil"/>
              <w:left w:val="nil"/>
              <w:bottom w:val="nil"/>
              <w:right w:val="nil"/>
            </w:tcBorders>
            <w:tcMar>
              <w:top w:w="30" w:type="dxa"/>
              <w:left w:w="45" w:type="dxa"/>
              <w:bottom w:w="30" w:type="dxa"/>
              <w:right w:w="45" w:type="dxa"/>
            </w:tcMar>
            <w:vAlign w:val="center"/>
          </w:tcPr>
          <w:p w14:paraId="7AEDAA5F" w14:textId="3D2BA22F" w:rsidR="5EC82F99" w:rsidRDefault="5EC82F99" w:rsidP="000F687C">
            <w:pPr>
              <w:jc w:val="center"/>
            </w:pPr>
            <w:r w:rsidRPr="5EC82F99">
              <w:rPr>
                <w:rFonts w:ascii="Century Gothic" w:eastAsia="Century Gothic" w:hAnsi="Century Gothic" w:cs="Century Gothic"/>
                <w:sz w:val="18"/>
                <w:szCs w:val="18"/>
              </w:rPr>
              <w:t>6,825</w:t>
            </w:r>
          </w:p>
        </w:tc>
        <w:tc>
          <w:tcPr>
            <w:tcW w:w="1675" w:type="dxa"/>
            <w:tcBorders>
              <w:top w:val="nil"/>
              <w:left w:val="nil"/>
              <w:bottom w:val="nil"/>
              <w:right w:val="nil"/>
            </w:tcBorders>
            <w:tcMar>
              <w:top w:w="30" w:type="dxa"/>
              <w:left w:w="45" w:type="dxa"/>
              <w:bottom w:w="30" w:type="dxa"/>
              <w:right w:w="45" w:type="dxa"/>
            </w:tcMar>
            <w:vAlign w:val="center"/>
          </w:tcPr>
          <w:p w14:paraId="6C0D0138" w14:textId="0C039160" w:rsidR="5EC82F99" w:rsidRDefault="5EC82F99" w:rsidP="000F687C">
            <w:pPr>
              <w:jc w:val="center"/>
            </w:pPr>
            <w:r w:rsidRPr="5EC82F99">
              <w:rPr>
                <w:rFonts w:ascii="Century Gothic" w:eastAsia="Century Gothic" w:hAnsi="Century Gothic" w:cs="Century Gothic"/>
                <w:sz w:val="18"/>
                <w:szCs w:val="18"/>
              </w:rPr>
              <w:t>7,35</w:t>
            </w:r>
          </w:p>
        </w:tc>
      </w:tr>
      <w:tr w:rsidR="5EC82F99" w14:paraId="02E340CB" w14:textId="77777777" w:rsidTr="000F687C">
        <w:trPr>
          <w:trHeight w:val="441"/>
        </w:trPr>
        <w:tc>
          <w:tcPr>
            <w:tcW w:w="1674" w:type="dxa"/>
            <w:tcBorders>
              <w:top w:val="nil"/>
              <w:left w:val="nil"/>
              <w:bottom w:val="nil"/>
              <w:right w:val="nil"/>
            </w:tcBorders>
            <w:tcMar>
              <w:top w:w="30" w:type="dxa"/>
              <w:left w:w="45" w:type="dxa"/>
              <w:bottom w:w="30" w:type="dxa"/>
              <w:right w:w="45" w:type="dxa"/>
            </w:tcMar>
            <w:vAlign w:val="center"/>
          </w:tcPr>
          <w:p w14:paraId="7A9E3110" w14:textId="2259896A" w:rsidR="5EC82F99" w:rsidRDefault="5EC82F99" w:rsidP="000F687C">
            <w:pPr>
              <w:jc w:val="center"/>
            </w:pPr>
            <w:r w:rsidRPr="5EC82F99">
              <w:rPr>
                <w:rFonts w:ascii="Century Gothic" w:eastAsia="Century Gothic" w:hAnsi="Century Gothic" w:cs="Century Gothic"/>
                <w:sz w:val="18"/>
                <w:szCs w:val="18"/>
              </w:rPr>
              <w:t>Mean (IDR)</w:t>
            </w:r>
          </w:p>
        </w:tc>
        <w:tc>
          <w:tcPr>
            <w:tcW w:w="1676" w:type="dxa"/>
            <w:tcBorders>
              <w:top w:val="nil"/>
              <w:left w:val="nil"/>
              <w:bottom w:val="nil"/>
              <w:right w:val="nil"/>
            </w:tcBorders>
            <w:tcMar>
              <w:top w:w="30" w:type="dxa"/>
              <w:left w:w="45" w:type="dxa"/>
              <w:bottom w:w="30" w:type="dxa"/>
              <w:right w:w="45" w:type="dxa"/>
            </w:tcMar>
            <w:vAlign w:val="center"/>
          </w:tcPr>
          <w:p w14:paraId="33CC61EF" w14:textId="7DA59D01" w:rsidR="5EC82F99" w:rsidRDefault="5EC82F99" w:rsidP="000F687C">
            <w:pPr>
              <w:jc w:val="center"/>
            </w:pPr>
            <w:r w:rsidRPr="5EC82F99">
              <w:rPr>
                <w:rFonts w:ascii="Century Gothic" w:eastAsia="Century Gothic" w:hAnsi="Century Gothic" w:cs="Century Gothic"/>
                <w:sz w:val="18"/>
                <w:szCs w:val="18"/>
              </w:rPr>
              <w:t>4,557</w:t>
            </w:r>
          </w:p>
        </w:tc>
        <w:tc>
          <w:tcPr>
            <w:tcW w:w="1675" w:type="dxa"/>
            <w:tcBorders>
              <w:top w:val="nil"/>
              <w:left w:val="nil"/>
              <w:bottom w:val="nil"/>
              <w:right w:val="nil"/>
            </w:tcBorders>
            <w:tcMar>
              <w:top w:w="30" w:type="dxa"/>
              <w:left w:w="45" w:type="dxa"/>
              <w:bottom w:w="30" w:type="dxa"/>
              <w:right w:w="45" w:type="dxa"/>
            </w:tcMar>
            <w:vAlign w:val="center"/>
          </w:tcPr>
          <w:p w14:paraId="2375E9A3" w14:textId="7E8C9719" w:rsidR="5EC82F99" w:rsidRDefault="5EC82F99" w:rsidP="000F687C">
            <w:pPr>
              <w:jc w:val="center"/>
            </w:pPr>
            <w:r w:rsidRPr="5EC82F99">
              <w:rPr>
                <w:rFonts w:ascii="Century Gothic" w:eastAsia="Century Gothic" w:hAnsi="Century Gothic" w:cs="Century Gothic"/>
                <w:sz w:val="18"/>
                <w:szCs w:val="18"/>
              </w:rPr>
              <w:t>3,978</w:t>
            </w:r>
          </w:p>
        </w:tc>
        <w:tc>
          <w:tcPr>
            <w:tcW w:w="1677" w:type="dxa"/>
            <w:tcBorders>
              <w:top w:val="nil"/>
              <w:left w:val="nil"/>
              <w:bottom w:val="nil"/>
              <w:right w:val="nil"/>
            </w:tcBorders>
            <w:tcMar>
              <w:top w:w="30" w:type="dxa"/>
              <w:left w:w="45" w:type="dxa"/>
              <w:bottom w:w="30" w:type="dxa"/>
              <w:right w:w="45" w:type="dxa"/>
            </w:tcMar>
            <w:vAlign w:val="center"/>
          </w:tcPr>
          <w:p w14:paraId="664CB8BA" w14:textId="63514116" w:rsidR="5EC82F99" w:rsidRDefault="5EC82F99" w:rsidP="000F687C">
            <w:pPr>
              <w:jc w:val="center"/>
            </w:pPr>
            <w:r w:rsidRPr="5EC82F99">
              <w:rPr>
                <w:rFonts w:ascii="Century Gothic" w:eastAsia="Century Gothic" w:hAnsi="Century Gothic" w:cs="Century Gothic"/>
                <w:sz w:val="18"/>
                <w:szCs w:val="18"/>
              </w:rPr>
              <w:t>6,223</w:t>
            </w:r>
          </w:p>
        </w:tc>
        <w:tc>
          <w:tcPr>
            <w:tcW w:w="1675" w:type="dxa"/>
            <w:tcBorders>
              <w:top w:val="nil"/>
              <w:left w:val="nil"/>
              <w:bottom w:val="nil"/>
              <w:right w:val="nil"/>
            </w:tcBorders>
            <w:tcMar>
              <w:top w:w="30" w:type="dxa"/>
              <w:left w:w="45" w:type="dxa"/>
              <w:bottom w:w="30" w:type="dxa"/>
              <w:right w:w="45" w:type="dxa"/>
            </w:tcMar>
            <w:vAlign w:val="center"/>
          </w:tcPr>
          <w:p w14:paraId="1FBA5E7F" w14:textId="6EB8EB1C" w:rsidR="5EC82F99" w:rsidRDefault="5EC82F99" w:rsidP="000F687C">
            <w:pPr>
              <w:jc w:val="center"/>
            </w:pPr>
            <w:r w:rsidRPr="5EC82F99">
              <w:rPr>
                <w:rFonts w:ascii="Century Gothic" w:eastAsia="Century Gothic" w:hAnsi="Century Gothic" w:cs="Century Gothic"/>
                <w:sz w:val="18"/>
                <w:szCs w:val="18"/>
              </w:rPr>
              <w:t>4,488</w:t>
            </w:r>
          </w:p>
        </w:tc>
        <w:tc>
          <w:tcPr>
            <w:tcW w:w="1675" w:type="dxa"/>
            <w:tcBorders>
              <w:top w:val="nil"/>
              <w:left w:val="nil"/>
              <w:bottom w:val="nil"/>
              <w:right w:val="nil"/>
            </w:tcBorders>
            <w:tcMar>
              <w:top w:w="30" w:type="dxa"/>
              <w:left w:w="45" w:type="dxa"/>
              <w:bottom w:w="30" w:type="dxa"/>
              <w:right w:w="45" w:type="dxa"/>
            </w:tcMar>
            <w:vAlign w:val="center"/>
          </w:tcPr>
          <w:p w14:paraId="63AE8077" w14:textId="3A821E6C" w:rsidR="5EC82F99" w:rsidRDefault="5EC82F99" w:rsidP="000F687C">
            <w:pPr>
              <w:jc w:val="center"/>
            </w:pPr>
            <w:r w:rsidRPr="5EC82F99">
              <w:rPr>
                <w:rFonts w:ascii="Century Gothic" w:eastAsia="Century Gothic" w:hAnsi="Century Gothic" w:cs="Century Gothic"/>
                <w:sz w:val="18"/>
                <w:szCs w:val="18"/>
              </w:rPr>
              <w:t>6,664</w:t>
            </w:r>
          </w:p>
        </w:tc>
      </w:tr>
      <w:tr w:rsidR="5EC82F99" w14:paraId="56B075EF" w14:textId="77777777" w:rsidTr="000F687C">
        <w:trPr>
          <w:trHeight w:val="441"/>
        </w:trPr>
        <w:tc>
          <w:tcPr>
            <w:tcW w:w="1674" w:type="dxa"/>
            <w:tcBorders>
              <w:top w:val="nil"/>
              <w:left w:val="nil"/>
              <w:bottom w:val="nil"/>
              <w:right w:val="nil"/>
            </w:tcBorders>
            <w:tcMar>
              <w:top w:w="30" w:type="dxa"/>
              <w:left w:w="45" w:type="dxa"/>
              <w:bottom w:w="30" w:type="dxa"/>
              <w:right w:w="45" w:type="dxa"/>
            </w:tcMar>
            <w:vAlign w:val="center"/>
          </w:tcPr>
          <w:p w14:paraId="0B6DA3BB" w14:textId="0EA04EA1" w:rsidR="5EC82F99" w:rsidRDefault="5EC82F99" w:rsidP="000F687C">
            <w:pPr>
              <w:jc w:val="center"/>
            </w:pPr>
            <w:r w:rsidRPr="5EC82F99">
              <w:rPr>
                <w:rFonts w:ascii="Century Gothic" w:eastAsia="Century Gothic" w:hAnsi="Century Gothic" w:cs="Century Gothic"/>
                <w:sz w:val="18"/>
                <w:szCs w:val="18"/>
              </w:rPr>
              <w:t>Median (IDR)</w:t>
            </w:r>
          </w:p>
        </w:tc>
        <w:tc>
          <w:tcPr>
            <w:tcW w:w="1676" w:type="dxa"/>
            <w:tcBorders>
              <w:top w:val="nil"/>
              <w:left w:val="nil"/>
              <w:bottom w:val="nil"/>
              <w:right w:val="nil"/>
            </w:tcBorders>
            <w:tcMar>
              <w:top w:w="30" w:type="dxa"/>
              <w:left w:w="45" w:type="dxa"/>
              <w:bottom w:w="30" w:type="dxa"/>
              <w:right w:w="45" w:type="dxa"/>
            </w:tcMar>
            <w:vAlign w:val="center"/>
          </w:tcPr>
          <w:p w14:paraId="3218F8B5" w14:textId="2CA280DF" w:rsidR="5EC82F99" w:rsidRDefault="5EC82F99" w:rsidP="000F687C">
            <w:pPr>
              <w:jc w:val="center"/>
            </w:pPr>
            <w:r w:rsidRPr="5EC82F99">
              <w:rPr>
                <w:rFonts w:ascii="Century Gothic" w:eastAsia="Century Gothic" w:hAnsi="Century Gothic" w:cs="Century Gothic"/>
                <w:sz w:val="18"/>
                <w:szCs w:val="18"/>
              </w:rPr>
              <w:t>3,96</w:t>
            </w:r>
          </w:p>
        </w:tc>
        <w:tc>
          <w:tcPr>
            <w:tcW w:w="1675" w:type="dxa"/>
            <w:tcBorders>
              <w:top w:val="nil"/>
              <w:left w:val="nil"/>
              <w:bottom w:val="nil"/>
              <w:right w:val="nil"/>
            </w:tcBorders>
            <w:tcMar>
              <w:top w:w="30" w:type="dxa"/>
              <w:left w:w="45" w:type="dxa"/>
              <w:bottom w:w="30" w:type="dxa"/>
              <w:right w:w="45" w:type="dxa"/>
            </w:tcMar>
            <w:vAlign w:val="center"/>
          </w:tcPr>
          <w:p w14:paraId="1A194F82" w14:textId="25A12A4D" w:rsidR="5EC82F99" w:rsidRDefault="5EC82F99" w:rsidP="000F687C">
            <w:pPr>
              <w:jc w:val="center"/>
            </w:pPr>
            <w:r w:rsidRPr="5EC82F99">
              <w:rPr>
                <w:rFonts w:ascii="Century Gothic" w:eastAsia="Century Gothic" w:hAnsi="Century Gothic" w:cs="Century Gothic"/>
                <w:sz w:val="18"/>
                <w:szCs w:val="18"/>
              </w:rPr>
              <w:t>3,92</w:t>
            </w:r>
          </w:p>
        </w:tc>
        <w:tc>
          <w:tcPr>
            <w:tcW w:w="1677" w:type="dxa"/>
            <w:tcBorders>
              <w:top w:val="nil"/>
              <w:left w:val="nil"/>
              <w:bottom w:val="nil"/>
              <w:right w:val="nil"/>
            </w:tcBorders>
            <w:tcMar>
              <w:top w:w="30" w:type="dxa"/>
              <w:left w:w="45" w:type="dxa"/>
              <w:bottom w:w="30" w:type="dxa"/>
              <w:right w:w="45" w:type="dxa"/>
            </w:tcMar>
            <w:vAlign w:val="center"/>
          </w:tcPr>
          <w:p w14:paraId="53B9163C" w14:textId="6FD8072F" w:rsidR="5EC82F99" w:rsidRDefault="5EC82F99" w:rsidP="000F687C">
            <w:pPr>
              <w:jc w:val="center"/>
            </w:pPr>
            <w:r w:rsidRPr="5EC82F99">
              <w:rPr>
                <w:rFonts w:ascii="Century Gothic" w:eastAsia="Century Gothic" w:hAnsi="Century Gothic" w:cs="Century Gothic"/>
                <w:sz w:val="18"/>
                <w:szCs w:val="18"/>
              </w:rPr>
              <w:t>6,4</w:t>
            </w:r>
          </w:p>
        </w:tc>
        <w:tc>
          <w:tcPr>
            <w:tcW w:w="1675" w:type="dxa"/>
            <w:tcBorders>
              <w:top w:val="nil"/>
              <w:left w:val="nil"/>
              <w:bottom w:val="nil"/>
              <w:right w:val="nil"/>
            </w:tcBorders>
            <w:tcMar>
              <w:top w:w="30" w:type="dxa"/>
              <w:left w:w="45" w:type="dxa"/>
              <w:bottom w:w="30" w:type="dxa"/>
              <w:right w:w="45" w:type="dxa"/>
            </w:tcMar>
            <w:vAlign w:val="center"/>
          </w:tcPr>
          <w:p w14:paraId="310DCE0F" w14:textId="3B98C9C8" w:rsidR="5EC82F99" w:rsidRDefault="5EC82F99" w:rsidP="000F687C">
            <w:pPr>
              <w:jc w:val="center"/>
            </w:pPr>
            <w:r w:rsidRPr="5EC82F99">
              <w:rPr>
                <w:rFonts w:ascii="Century Gothic" w:eastAsia="Century Gothic" w:hAnsi="Century Gothic" w:cs="Century Gothic"/>
                <w:sz w:val="18"/>
                <w:szCs w:val="18"/>
              </w:rPr>
              <w:t>3,92</w:t>
            </w:r>
          </w:p>
        </w:tc>
        <w:tc>
          <w:tcPr>
            <w:tcW w:w="1675" w:type="dxa"/>
            <w:tcBorders>
              <w:top w:val="nil"/>
              <w:left w:val="nil"/>
              <w:bottom w:val="nil"/>
              <w:right w:val="nil"/>
            </w:tcBorders>
            <w:tcMar>
              <w:top w:w="30" w:type="dxa"/>
              <w:left w:w="45" w:type="dxa"/>
              <w:bottom w:w="30" w:type="dxa"/>
              <w:right w:w="45" w:type="dxa"/>
            </w:tcMar>
            <w:vAlign w:val="center"/>
          </w:tcPr>
          <w:p w14:paraId="0CA427E8" w14:textId="44013AD6" w:rsidR="5EC82F99" w:rsidRDefault="5EC82F99" w:rsidP="000F687C">
            <w:pPr>
              <w:jc w:val="center"/>
            </w:pPr>
            <w:r w:rsidRPr="5EC82F99">
              <w:rPr>
                <w:rFonts w:ascii="Century Gothic" w:eastAsia="Century Gothic" w:hAnsi="Century Gothic" w:cs="Century Gothic"/>
                <w:sz w:val="18"/>
                <w:szCs w:val="18"/>
              </w:rPr>
              <w:t>6,725</w:t>
            </w:r>
          </w:p>
        </w:tc>
      </w:tr>
      <w:tr w:rsidR="5EC82F99" w14:paraId="2B6E196F" w14:textId="77777777" w:rsidTr="000F687C">
        <w:trPr>
          <w:trHeight w:val="441"/>
        </w:trPr>
        <w:tc>
          <w:tcPr>
            <w:tcW w:w="1674" w:type="dxa"/>
            <w:tcBorders>
              <w:top w:val="nil"/>
              <w:left w:val="nil"/>
              <w:bottom w:val="nil"/>
              <w:right w:val="nil"/>
            </w:tcBorders>
            <w:tcMar>
              <w:top w:w="30" w:type="dxa"/>
              <w:left w:w="45" w:type="dxa"/>
              <w:bottom w:w="30" w:type="dxa"/>
              <w:right w:w="45" w:type="dxa"/>
            </w:tcMar>
            <w:vAlign w:val="center"/>
          </w:tcPr>
          <w:p w14:paraId="64303DEC" w14:textId="7E39F7F8" w:rsidR="5EC82F99" w:rsidRDefault="5EC82F99" w:rsidP="000F687C">
            <w:pPr>
              <w:jc w:val="center"/>
            </w:pPr>
            <w:r w:rsidRPr="5EC82F99">
              <w:rPr>
                <w:rFonts w:ascii="Century Gothic" w:eastAsia="Century Gothic" w:hAnsi="Century Gothic" w:cs="Century Gothic"/>
                <w:sz w:val="18"/>
                <w:szCs w:val="18"/>
              </w:rPr>
              <w:t>Std. Dev. (IDR)</w:t>
            </w:r>
          </w:p>
        </w:tc>
        <w:tc>
          <w:tcPr>
            <w:tcW w:w="1676" w:type="dxa"/>
            <w:tcBorders>
              <w:top w:val="nil"/>
              <w:left w:val="nil"/>
              <w:bottom w:val="nil"/>
              <w:right w:val="nil"/>
            </w:tcBorders>
            <w:tcMar>
              <w:top w:w="30" w:type="dxa"/>
              <w:left w:w="45" w:type="dxa"/>
              <w:bottom w:w="30" w:type="dxa"/>
              <w:right w:w="45" w:type="dxa"/>
            </w:tcMar>
            <w:vAlign w:val="center"/>
          </w:tcPr>
          <w:p w14:paraId="7B7413B0" w14:textId="03DFB324" w:rsidR="5EC82F99" w:rsidRDefault="5EC82F99" w:rsidP="000F687C">
            <w:pPr>
              <w:jc w:val="center"/>
            </w:pPr>
            <w:r w:rsidRPr="5EC82F99">
              <w:rPr>
                <w:rFonts w:ascii="Century Gothic" w:eastAsia="Century Gothic" w:hAnsi="Century Gothic" w:cs="Century Gothic"/>
                <w:sz w:val="18"/>
                <w:szCs w:val="18"/>
              </w:rPr>
              <w:t>1,068</w:t>
            </w:r>
          </w:p>
        </w:tc>
        <w:tc>
          <w:tcPr>
            <w:tcW w:w="1675" w:type="dxa"/>
            <w:tcBorders>
              <w:top w:val="nil"/>
              <w:left w:val="nil"/>
              <w:bottom w:val="nil"/>
              <w:right w:val="nil"/>
            </w:tcBorders>
            <w:tcMar>
              <w:top w:w="30" w:type="dxa"/>
              <w:left w:w="45" w:type="dxa"/>
              <w:bottom w:w="30" w:type="dxa"/>
              <w:right w:w="45" w:type="dxa"/>
            </w:tcMar>
            <w:vAlign w:val="center"/>
          </w:tcPr>
          <w:p w14:paraId="5A012D3E" w14:textId="215D39B4" w:rsidR="5EC82F99" w:rsidRDefault="5EC82F99" w:rsidP="000F687C">
            <w:pPr>
              <w:jc w:val="center"/>
            </w:pPr>
            <w:r w:rsidRPr="5EC82F99">
              <w:rPr>
                <w:rFonts w:ascii="Century Gothic" w:eastAsia="Century Gothic" w:hAnsi="Century Gothic" w:cs="Century Gothic"/>
                <w:sz w:val="18"/>
                <w:szCs w:val="18"/>
              </w:rPr>
              <w:t>308</w:t>
            </w:r>
          </w:p>
        </w:tc>
        <w:tc>
          <w:tcPr>
            <w:tcW w:w="1677" w:type="dxa"/>
            <w:tcBorders>
              <w:top w:val="nil"/>
              <w:left w:val="nil"/>
              <w:bottom w:val="nil"/>
              <w:right w:val="nil"/>
            </w:tcBorders>
            <w:tcMar>
              <w:top w:w="30" w:type="dxa"/>
              <w:left w:w="45" w:type="dxa"/>
              <w:bottom w:w="30" w:type="dxa"/>
              <w:right w:w="45" w:type="dxa"/>
            </w:tcMar>
            <w:vAlign w:val="center"/>
          </w:tcPr>
          <w:p w14:paraId="3B40794F" w14:textId="01456EFC" w:rsidR="5EC82F99" w:rsidRDefault="5EC82F99" w:rsidP="000F687C">
            <w:pPr>
              <w:jc w:val="center"/>
            </w:pPr>
            <w:r w:rsidRPr="5EC82F99">
              <w:rPr>
                <w:rFonts w:ascii="Century Gothic" w:eastAsia="Century Gothic" w:hAnsi="Century Gothic" w:cs="Century Gothic"/>
                <w:sz w:val="18"/>
                <w:szCs w:val="18"/>
              </w:rPr>
              <w:t>644</w:t>
            </w:r>
          </w:p>
        </w:tc>
        <w:tc>
          <w:tcPr>
            <w:tcW w:w="1675" w:type="dxa"/>
            <w:tcBorders>
              <w:top w:val="nil"/>
              <w:left w:val="nil"/>
              <w:bottom w:val="nil"/>
              <w:right w:val="nil"/>
            </w:tcBorders>
            <w:tcMar>
              <w:top w:w="30" w:type="dxa"/>
              <w:left w:w="45" w:type="dxa"/>
              <w:bottom w:w="30" w:type="dxa"/>
              <w:right w:w="45" w:type="dxa"/>
            </w:tcMar>
            <w:vAlign w:val="center"/>
          </w:tcPr>
          <w:p w14:paraId="48BCAB8E" w14:textId="71F9F6FB" w:rsidR="5EC82F99" w:rsidRDefault="5EC82F99" w:rsidP="000F687C">
            <w:pPr>
              <w:jc w:val="center"/>
            </w:pPr>
            <w:r w:rsidRPr="5EC82F99">
              <w:rPr>
                <w:rFonts w:ascii="Century Gothic" w:eastAsia="Century Gothic" w:hAnsi="Century Gothic" w:cs="Century Gothic"/>
                <w:sz w:val="18"/>
                <w:szCs w:val="18"/>
              </w:rPr>
              <w:t>1,004</w:t>
            </w:r>
          </w:p>
        </w:tc>
        <w:tc>
          <w:tcPr>
            <w:tcW w:w="1675" w:type="dxa"/>
            <w:tcBorders>
              <w:top w:val="nil"/>
              <w:left w:val="nil"/>
              <w:bottom w:val="nil"/>
              <w:right w:val="nil"/>
            </w:tcBorders>
            <w:tcMar>
              <w:top w:w="30" w:type="dxa"/>
              <w:left w:w="45" w:type="dxa"/>
              <w:bottom w:w="30" w:type="dxa"/>
              <w:right w:w="45" w:type="dxa"/>
            </w:tcMar>
            <w:vAlign w:val="center"/>
          </w:tcPr>
          <w:p w14:paraId="67E14CA2" w14:textId="053D6F9B" w:rsidR="5EC82F99" w:rsidRDefault="5EC82F99" w:rsidP="000F687C">
            <w:pPr>
              <w:jc w:val="center"/>
            </w:pPr>
            <w:r w:rsidRPr="5EC82F99">
              <w:rPr>
                <w:rFonts w:ascii="Century Gothic" w:eastAsia="Century Gothic" w:hAnsi="Century Gothic" w:cs="Century Gothic"/>
                <w:sz w:val="18"/>
                <w:szCs w:val="18"/>
              </w:rPr>
              <w:t>371</w:t>
            </w:r>
          </w:p>
        </w:tc>
      </w:tr>
      <w:tr w:rsidR="5EC82F99" w14:paraId="71EC1E35" w14:textId="77777777" w:rsidTr="000F687C">
        <w:trPr>
          <w:trHeight w:val="441"/>
        </w:trPr>
        <w:tc>
          <w:tcPr>
            <w:tcW w:w="1674" w:type="dxa"/>
            <w:tcBorders>
              <w:top w:val="nil"/>
              <w:left w:val="nil"/>
              <w:bottom w:val="nil"/>
              <w:right w:val="nil"/>
            </w:tcBorders>
            <w:tcMar>
              <w:top w:w="30" w:type="dxa"/>
              <w:left w:w="45" w:type="dxa"/>
              <w:bottom w:w="30" w:type="dxa"/>
              <w:right w:w="45" w:type="dxa"/>
            </w:tcMar>
            <w:vAlign w:val="center"/>
          </w:tcPr>
          <w:p w14:paraId="186AE662" w14:textId="3987D6B3" w:rsidR="5EC82F99" w:rsidRDefault="00A60516" w:rsidP="000F687C">
            <w:pPr>
              <w:jc w:val="center"/>
            </w:pPr>
            <w:r>
              <w:rPr>
                <w:rFonts w:ascii="Century Gothic" w:eastAsia="Century Gothic" w:hAnsi="Century Gothic" w:cs="Century Gothic"/>
                <w:sz w:val="18"/>
                <w:szCs w:val="18"/>
              </w:rPr>
              <w:t>Coefficient of Variation</w:t>
            </w:r>
          </w:p>
        </w:tc>
        <w:tc>
          <w:tcPr>
            <w:tcW w:w="1676" w:type="dxa"/>
            <w:tcBorders>
              <w:top w:val="nil"/>
              <w:left w:val="nil"/>
              <w:bottom w:val="nil"/>
              <w:right w:val="nil"/>
            </w:tcBorders>
            <w:tcMar>
              <w:top w:w="30" w:type="dxa"/>
              <w:left w:w="45" w:type="dxa"/>
              <w:bottom w:w="30" w:type="dxa"/>
              <w:right w:w="45" w:type="dxa"/>
            </w:tcMar>
            <w:vAlign w:val="center"/>
          </w:tcPr>
          <w:p w14:paraId="36B59ABB" w14:textId="30FFBC20" w:rsidR="5EC82F99" w:rsidRDefault="5EC82F99" w:rsidP="000F687C">
            <w:pPr>
              <w:jc w:val="center"/>
            </w:pPr>
            <w:r w:rsidRPr="5EC82F99">
              <w:rPr>
                <w:rFonts w:ascii="Century Gothic" w:eastAsia="Century Gothic" w:hAnsi="Century Gothic" w:cs="Century Gothic"/>
                <w:sz w:val="18"/>
                <w:szCs w:val="18"/>
              </w:rPr>
              <w:t>23.4</w:t>
            </w:r>
          </w:p>
        </w:tc>
        <w:tc>
          <w:tcPr>
            <w:tcW w:w="1675" w:type="dxa"/>
            <w:tcBorders>
              <w:top w:val="nil"/>
              <w:left w:val="nil"/>
              <w:bottom w:val="nil"/>
              <w:right w:val="nil"/>
            </w:tcBorders>
            <w:tcMar>
              <w:top w:w="30" w:type="dxa"/>
              <w:left w:w="45" w:type="dxa"/>
              <w:bottom w:w="30" w:type="dxa"/>
              <w:right w:w="45" w:type="dxa"/>
            </w:tcMar>
            <w:vAlign w:val="center"/>
          </w:tcPr>
          <w:p w14:paraId="26324A57" w14:textId="28EC472B" w:rsidR="5EC82F99" w:rsidRDefault="5EC82F99" w:rsidP="000F687C">
            <w:pPr>
              <w:jc w:val="center"/>
            </w:pPr>
            <w:r w:rsidRPr="5EC82F99">
              <w:rPr>
                <w:rFonts w:ascii="Century Gothic" w:eastAsia="Century Gothic" w:hAnsi="Century Gothic" w:cs="Century Gothic"/>
                <w:sz w:val="18"/>
                <w:szCs w:val="18"/>
              </w:rPr>
              <w:t>7.7</w:t>
            </w:r>
          </w:p>
        </w:tc>
        <w:tc>
          <w:tcPr>
            <w:tcW w:w="1677" w:type="dxa"/>
            <w:tcBorders>
              <w:top w:val="nil"/>
              <w:left w:val="nil"/>
              <w:bottom w:val="nil"/>
              <w:right w:val="nil"/>
            </w:tcBorders>
            <w:tcMar>
              <w:top w:w="30" w:type="dxa"/>
              <w:left w:w="45" w:type="dxa"/>
              <w:bottom w:w="30" w:type="dxa"/>
              <w:right w:w="45" w:type="dxa"/>
            </w:tcMar>
            <w:vAlign w:val="center"/>
          </w:tcPr>
          <w:p w14:paraId="78F25D98" w14:textId="28870413" w:rsidR="5EC82F99" w:rsidRDefault="5EC82F99" w:rsidP="000F687C">
            <w:pPr>
              <w:jc w:val="center"/>
            </w:pPr>
            <w:r w:rsidRPr="5EC82F99">
              <w:rPr>
                <w:rFonts w:ascii="Century Gothic" w:eastAsia="Century Gothic" w:hAnsi="Century Gothic" w:cs="Century Gothic"/>
                <w:sz w:val="18"/>
                <w:szCs w:val="18"/>
              </w:rPr>
              <w:t>10.3</w:t>
            </w:r>
          </w:p>
        </w:tc>
        <w:tc>
          <w:tcPr>
            <w:tcW w:w="1675" w:type="dxa"/>
            <w:tcBorders>
              <w:top w:val="nil"/>
              <w:left w:val="nil"/>
              <w:bottom w:val="nil"/>
              <w:right w:val="nil"/>
            </w:tcBorders>
            <w:tcMar>
              <w:top w:w="30" w:type="dxa"/>
              <w:left w:w="45" w:type="dxa"/>
              <w:bottom w:w="30" w:type="dxa"/>
              <w:right w:w="45" w:type="dxa"/>
            </w:tcMar>
            <w:vAlign w:val="center"/>
          </w:tcPr>
          <w:p w14:paraId="5A67F6F4" w14:textId="7C5AD6C8" w:rsidR="5EC82F99" w:rsidRDefault="5EC82F99" w:rsidP="000F687C">
            <w:pPr>
              <w:jc w:val="center"/>
            </w:pPr>
            <w:r w:rsidRPr="5EC82F99">
              <w:rPr>
                <w:rFonts w:ascii="Century Gothic" w:eastAsia="Century Gothic" w:hAnsi="Century Gothic" w:cs="Century Gothic"/>
                <w:sz w:val="18"/>
                <w:szCs w:val="18"/>
              </w:rPr>
              <w:t>22.4</w:t>
            </w:r>
          </w:p>
        </w:tc>
        <w:tc>
          <w:tcPr>
            <w:tcW w:w="1675" w:type="dxa"/>
            <w:tcBorders>
              <w:top w:val="nil"/>
              <w:left w:val="nil"/>
              <w:bottom w:val="nil"/>
              <w:right w:val="nil"/>
            </w:tcBorders>
            <w:tcMar>
              <w:top w:w="30" w:type="dxa"/>
              <w:left w:w="45" w:type="dxa"/>
              <w:bottom w:w="30" w:type="dxa"/>
              <w:right w:w="45" w:type="dxa"/>
            </w:tcMar>
            <w:vAlign w:val="center"/>
          </w:tcPr>
          <w:p w14:paraId="13B6210E" w14:textId="467E802C" w:rsidR="5EC82F99" w:rsidRDefault="5EC82F99" w:rsidP="000F687C">
            <w:pPr>
              <w:jc w:val="center"/>
            </w:pPr>
            <w:r w:rsidRPr="5EC82F99">
              <w:rPr>
                <w:rFonts w:ascii="Century Gothic" w:eastAsia="Century Gothic" w:hAnsi="Century Gothic" w:cs="Century Gothic"/>
                <w:sz w:val="18"/>
                <w:szCs w:val="18"/>
              </w:rPr>
              <w:t>5.6</w:t>
            </w:r>
          </w:p>
        </w:tc>
      </w:tr>
      <w:tr w:rsidR="5EC82F99" w14:paraId="45D93701" w14:textId="77777777" w:rsidTr="000F687C">
        <w:trPr>
          <w:trHeight w:val="441"/>
        </w:trPr>
        <w:tc>
          <w:tcPr>
            <w:tcW w:w="1674" w:type="dxa"/>
            <w:tcBorders>
              <w:top w:val="nil"/>
              <w:left w:val="nil"/>
              <w:bottom w:val="single" w:sz="8" w:space="0" w:color="auto"/>
              <w:right w:val="nil"/>
            </w:tcBorders>
            <w:tcMar>
              <w:top w:w="30" w:type="dxa"/>
              <w:left w:w="45" w:type="dxa"/>
              <w:bottom w:w="30" w:type="dxa"/>
              <w:right w:w="45" w:type="dxa"/>
            </w:tcMar>
            <w:vAlign w:val="center"/>
          </w:tcPr>
          <w:p w14:paraId="1A5A4762" w14:textId="50D4F2C2" w:rsidR="5EC82F99" w:rsidRDefault="5EC82F99" w:rsidP="000F687C">
            <w:pPr>
              <w:jc w:val="center"/>
            </w:pPr>
            <w:r w:rsidRPr="5EC82F99">
              <w:rPr>
                <w:rFonts w:ascii="Century Gothic" w:eastAsia="Century Gothic" w:hAnsi="Century Gothic" w:cs="Century Gothic"/>
                <w:sz w:val="18"/>
                <w:szCs w:val="18"/>
              </w:rPr>
              <w:t>Range (IDR)</w:t>
            </w:r>
          </w:p>
        </w:tc>
        <w:tc>
          <w:tcPr>
            <w:tcW w:w="1676" w:type="dxa"/>
            <w:tcBorders>
              <w:top w:val="nil"/>
              <w:left w:val="nil"/>
              <w:bottom w:val="single" w:sz="8" w:space="0" w:color="auto"/>
              <w:right w:val="nil"/>
            </w:tcBorders>
            <w:tcMar>
              <w:top w:w="30" w:type="dxa"/>
              <w:left w:w="45" w:type="dxa"/>
              <w:bottom w:w="30" w:type="dxa"/>
              <w:right w:w="45" w:type="dxa"/>
            </w:tcMar>
            <w:vAlign w:val="center"/>
          </w:tcPr>
          <w:p w14:paraId="2CDBDB70" w14:textId="43DA796C" w:rsidR="5EC82F99" w:rsidRDefault="5EC82F99" w:rsidP="000F687C">
            <w:pPr>
              <w:jc w:val="center"/>
            </w:pPr>
            <w:r w:rsidRPr="5EC82F99">
              <w:rPr>
                <w:rFonts w:ascii="Century Gothic" w:eastAsia="Century Gothic" w:hAnsi="Century Gothic" w:cs="Century Gothic"/>
                <w:sz w:val="18"/>
                <w:szCs w:val="18"/>
              </w:rPr>
              <w:t>4,04</w:t>
            </w:r>
          </w:p>
        </w:tc>
        <w:tc>
          <w:tcPr>
            <w:tcW w:w="1675" w:type="dxa"/>
            <w:tcBorders>
              <w:top w:val="nil"/>
              <w:left w:val="nil"/>
              <w:bottom w:val="single" w:sz="8" w:space="0" w:color="auto"/>
              <w:right w:val="nil"/>
            </w:tcBorders>
            <w:tcMar>
              <w:top w:w="30" w:type="dxa"/>
              <w:left w:w="45" w:type="dxa"/>
              <w:bottom w:w="30" w:type="dxa"/>
              <w:right w:w="45" w:type="dxa"/>
            </w:tcMar>
            <w:vAlign w:val="center"/>
          </w:tcPr>
          <w:p w14:paraId="49216350" w14:textId="240BDEC3" w:rsidR="5EC82F99" w:rsidRDefault="5EC82F99" w:rsidP="000F687C">
            <w:pPr>
              <w:jc w:val="center"/>
            </w:pPr>
            <w:r w:rsidRPr="5EC82F99">
              <w:rPr>
                <w:rFonts w:ascii="Century Gothic" w:eastAsia="Century Gothic" w:hAnsi="Century Gothic" w:cs="Century Gothic"/>
                <w:sz w:val="18"/>
                <w:szCs w:val="18"/>
              </w:rPr>
              <w:t>1,44</w:t>
            </w:r>
          </w:p>
        </w:tc>
        <w:tc>
          <w:tcPr>
            <w:tcW w:w="1677" w:type="dxa"/>
            <w:tcBorders>
              <w:top w:val="nil"/>
              <w:left w:val="nil"/>
              <w:bottom w:val="single" w:sz="8" w:space="0" w:color="auto"/>
              <w:right w:val="nil"/>
            </w:tcBorders>
            <w:tcMar>
              <w:top w:w="30" w:type="dxa"/>
              <w:left w:w="45" w:type="dxa"/>
              <w:bottom w:w="30" w:type="dxa"/>
              <w:right w:w="45" w:type="dxa"/>
            </w:tcMar>
            <w:vAlign w:val="center"/>
          </w:tcPr>
          <w:p w14:paraId="7AE07EEA" w14:textId="4A5147FA" w:rsidR="5EC82F99" w:rsidRDefault="5EC82F99" w:rsidP="000F687C">
            <w:pPr>
              <w:jc w:val="center"/>
            </w:pPr>
            <w:r w:rsidRPr="5EC82F99">
              <w:rPr>
                <w:rFonts w:ascii="Century Gothic" w:eastAsia="Century Gothic" w:hAnsi="Century Gothic" w:cs="Century Gothic"/>
                <w:sz w:val="18"/>
                <w:szCs w:val="18"/>
              </w:rPr>
              <w:t>3,24</w:t>
            </w:r>
          </w:p>
        </w:tc>
        <w:tc>
          <w:tcPr>
            <w:tcW w:w="1675" w:type="dxa"/>
            <w:tcBorders>
              <w:top w:val="nil"/>
              <w:left w:val="nil"/>
              <w:bottom w:val="single" w:sz="8" w:space="0" w:color="auto"/>
              <w:right w:val="nil"/>
            </w:tcBorders>
            <w:tcMar>
              <w:top w:w="30" w:type="dxa"/>
              <w:left w:w="45" w:type="dxa"/>
              <w:bottom w:w="30" w:type="dxa"/>
              <w:right w:w="45" w:type="dxa"/>
            </w:tcMar>
            <w:vAlign w:val="center"/>
          </w:tcPr>
          <w:p w14:paraId="79E7E062" w14:textId="185409FF" w:rsidR="5EC82F99" w:rsidRDefault="5EC82F99" w:rsidP="000F687C">
            <w:pPr>
              <w:jc w:val="center"/>
            </w:pPr>
            <w:r w:rsidRPr="5EC82F99">
              <w:rPr>
                <w:rFonts w:ascii="Century Gothic" w:eastAsia="Century Gothic" w:hAnsi="Century Gothic" w:cs="Century Gothic"/>
                <w:sz w:val="18"/>
                <w:szCs w:val="18"/>
              </w:rPr>
              <w:t>3,515</w:t>
            </w:r>
          </w:p>
        </w:tc>
        <w:tc>
          <w:tcPr>
            <w:tcW w:w="1675" w:type="dxa"/>
            <w:tcBorders>
              <w:top w:val="nil"/>
              <w:left w:val="nil"/>
              <w:bottom w:val="single" w:sz="8" w:space="0" w:color="auto"/>
              <w:right w:val="nil"/>
            </w:tcBorders>
            <w:tcMar>
              <w:top w:w="30" w:type="dxa"/>
              <w:left w:w="45" w:type="dxa"/>
              <w:bottom w:w="30" w:type="dxa"/>
              <w:right w:w="45" w:type="dxa"/>
            </w:tcMar>
            <w:vAlign w:val="center"/>
          </w:tcPr>
          <w:p w14:paraId="5C70C4E0" w14:textId="3B325707" w:rsidR="5EC82F99" w:rsidRDefault="5EC82F99" w:rsidP="000F687C">
            <w:pPr>
              <w:jc w:val="center"/>
            </w:pPr>
            <w:r w:rsidRPr="5EC82F99">
              <w:rPr>
                <w:rFonts w:ascii="Century Gothic" w:eastAsia="Century Gothic" w:hAnsi="Century Gothic" w:cs="Century Gothic"/>
                <w:sz w:val="18"/>
                <w:szCs w:val="18"/>
              </w:rPr>
              <w:t>1,425</w:t>
            </w:r>
          </w:p>
        </w:tc>
      </w:tr>
    </w:tbl>
    <w:p w14:paraId="230B1AFD" w14:textId="77777777" w:rsidR="00E00D7C" w:rsidRDefault="00E00D7C" w:rsidP="006E2E32">
      <w:pPr>
        <w:ind w:firstLine="284"/>
        <w:rPr>
          <w:rFonts w:ascii="Century Gothic" w:eastAsia="Century Gothic" w:hAnsi="Century Gothic" w:cs="Century Gothic"/>
          <w:sz w:val="18"/>
          <w:szCs w:val="18"/>
        </w:rPr>
      </w:pPr>
    </w:p>
    <w:p w14:paraId="488706DE" w14:textId="77777777" w:rsidR="000F687C" w:rsidRDefault="000F687C" w:rsidP="006E2E32">
      <w:pPr>
        <w:ind w:firstLine="284"/>
        <w:rPr>
          <w:rFonts w:ascii="Century Gothic" w:eastAsia="Century Gothic" w:hAnsi="Century Gothic" w:cs="Century Gothic"/>
          <w:sz w:val="18"/>
          <w:szCs w:val="18"/>
        </w:rPr>
        <w:sectPr w:rsidR="000F687C" w:rsidSect="000F687C">
          <w:type w:val="continuous"/>
          <w:pgSz w:w="12240" w:h="15840" w:code="1"/>
          <w:pgMar w:top="720" w:right="1094" w:bottom="950" w:left="1094" w:header="720" w:footer="720" w:gutter="0"/>
          <w:cols w:space="709"/>
        </w:sectPr>
      </w:pPr>
    </w:p>
    <w:p w14:paraId="352414D8" w14:textId="53A2AE72" w:rsidR="004331E1" w:rsidRPr="00911601" w:rsidRDefault="5EC82F99" w:rsidP="006E2E32">
      <w:pPr>
        <w:ind w:firstLine="284"/>
      </w:pPr>
      <w:r w:rsidRPr="5EC82F99">
        <w:rPr>
          <w:rFonts w:ascii="Century Gothic" w:eastAsia="Century Gothic" w:hAnsi="Century Gothic" w:cs="Century Gothic"/>
          <w:sz w:val="18"/>
          <w:szCs w:val="18"/>
        </w:rPr>
        <w:t xml:space="preserve">Two features of Table </w:t>
      </w:r>
      <w:r w:rsidR="009741FE">
        <w:rPr>
          <w:rFonts w:ascii="Century Gothic" w:eastAsia="Century Gothic" w:hAnsi="Century Gothic" w:cs="Century Gothic"/>
          <w:sz w:val="18"/>
          <w:szCs w:val="18"/>
        </w:rPr>
        <w:t>3</w:t>
      </w:r>
      <w:r w:rsidRPr="5EC82F99">
        <w:rPr>
          <w:rFonts w:ascii="Century Gothic" w:eastAsia="Century Gothic" w:hAnsi="Century Gothic" w:cs="Century Gothic"/>
          <w:sz w:val="18"/>
          <w:szCs w:val="18"/>
        </w:rPr>
        <w:t xml:space="preserve"> are immediately apparent. First, the mean price increases by IDR 2,245 between the pre- and post-intervention sub-</w:t>
      </w:r>
      <w:proofErr w:type="gramStart"/>
      <w:r w:rsidRPr="5EC82F99">
        <w:rPr>
          <w:rFonts w:ascii="Century Gothic" w:eastAsia="Century Gothic" w:hAnsi="Century Gothic" w:cs="Century Gothic"/>
          <w:sz w:val="18"/>
          <w:szCs w:val="18"/>
        </w:rPr>
        <w:t>periods  a</w:t>
      </w:r>
      <w:proofErr w:type="gramEnd"/>
      <w:r w:rsidRPr="5EC82F99">
        <w:rPr>
          <w:rFonts w:ascii="Century Gothic" w:eastAsia="Century Gothic" w:hAnsi="Century Gothic" w:cs="Century Gothic"/>
          <w:sz w:val="18"/>
          <w:szCs w:val="18"/>
        </w:rPr>
        <w:t xml:space="preserve"> 56.4% rise relative to the pre-intervention mean of IDR </w:t>
      </w:r>
      <w:proofErr w:type="gramStart"/>
      <w:r w:rsidRPr="5EC82F99">
        <w:rPr>
          <w:rFonts w:ascii="Century Gothic" w:eastAsia="Century Gothic" w:hAnsi="Century Gothic" w:cs="Century Gothic"/>
          <w:sz w:val="18"/>
          <w:szCs w:val="18"/>
        </w:rPr>
        <w:t>3,978  indicating</w:t>
      </w:r>
      <w:proofErr w:type="gramEnd"/>
      <w:r w:rsidRPr="5EC82F99">
        <w:rPr>
          <w:rFonts w:ascii="Century Gothic" w:eastAsia="Century Gothic" w:hAnsi="Century Gothic" w:cs="Century Gothic"/>
          <w:sz w:val="18"/>
          <w:szCs w:val="18"/>
        </w:rPr>
        <w:t xml:space="preserve"> that the export ban is associated with a substantial and sustained upward shift in the INCO price level rather than a transient spike. Second, the coefficient of variation (CV) rises from 7.7% in the pre-intervention period to 10.3% post-intervention in absolute terms, yet the two sub-periods are broadly comparable in relative variability. The high CV of 23.4% observed for the full series therefore reflects regime-switching heterogeneity between the two sub-periods rather than within-period instability of either sub-period in isolation.</w:t>
      </w:r>
    </w:p>
    <w:p w14:paraId="457E61D9" w14:textId="05AAA563" w:rsidR="004331E1" w:rsidRPr="00911601" w:rsidRDefault="002748CC" w:rsidP="006E2E32">
      <w:pPr>
        <w:spacing w:before="120" w:after="40"/>
        <w:jc w:val="center"/>
        <w:rPr>
          <w:rFonts w:ascii="Century Gothic" w:eastAsia="Century Gothic" w:hAnsi="Century Gothic" w:cs="Century Gothic"/>
          <w:b/>
          <w:bCs/>
          <w:color w:val="7B0D1E"/>
          <w:sz w:val="18"/>
          <w:szCs w:val="18"/>
        </w:rPr>
      </w:pPr>
      <w:r>
        <w:rPr>
          <w:noProof/>
        </w:rPr>
        <w:drawing>
          <wp:inline distT="0" distB="0" distL="0" distR="0" wp14:anchorId="7E977066" wp14:editId="2F6FE975">
            <wp:extent cx="2139351" cy="1921568"/>
            <wp:effectExtent l="0" t="0" r="0" b="2540"/>
            <wp:docPr id="230115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5511" name="Picture 230115511"/>
                    <pic:cNvPicPr/>
                  </pic:nvPicPr>
                  <pic:blipFill rotWithShape="1">
                    <a:blip r:embed="rId22" cstate="print">
                      <a:extLst>
                        <a:ext uri="{28A0092B-C50C-407E-A947-70E740481C1C}">
                          <a14:useLocalDpi xmlns:a14="http://schemas.microsoft.com/office/drawing/2010/main" val="0"/>
                        </a:ext>
                      </a:extLst>
                    </a:blip>
                    <a:srcRect t="10180"/>
                    <a:stretch>
                      <a:fillRect/>
                    </a:stretch>
                  </pic:blipFill>
                  <pic:spPr bwMode="auto">
                    <a:xfrm>
                      <a:off x="0" y="0"/>
                      <a:ext cx="2150346" cy="1931443"/>
                    </a:xfrm>
                    <a:prstGeom prst="rect">
                      <a:avLst/>
                    </a:prstGeom>
                    <a:ln>
                      <a:noFill/>
                    </a:ln>
                    <a:extLst>
                      <a:ext uri="{53640926-AAD7-44D8-BBD7-CCE9431645EC}">
                        <a14:shadowObscured xmlns:a14="http://schemas.microsoft.com/office/drawing/2010/main"/>
                      </a:ext>
                    </a:extLst>
                  </pic:spPr>
                </pic:pic>
              </a:graphicData>
            </a:graphic>
          </wp:inline>
        </w:drawing>
      </w:r>
    </w:p>
    <w:p w14:paraId="0FE1C548" w14:textId="16FCF51F" w:rsidR="002748CC" w:rsidRPr="001C12F1" w:rsidRDefault="5EC82F99" w:rsidP="006E2E32">
      <w:pPr>
        <w:jc w:val="center"/>
        <w:rPr>
          <w:rFonts w:ascii="Century Gothic" w:eastAsia="Century Gothic" w:hAnsi="Century Gothic" w:cs="Century Gothic"/>
          <w:sz w:val="18"/>
          <w:szCs w:val="18"/>
        </w:rPr>
      </w:pPr>
      <w:r w:rsidRPr="5EC82F99">
        <w:rPr>
          <w:rFonts w:ascii="Century Gothic" w:eastAsia="Century Gothic" w:hAnsi="Century Gothic" w:cs="Century Gothic"/>
          <w:b/>
          <w:bCs/>
          <w:sz w:val="18"/>
          <w:szCs w:val="18"/>
        </w:rPr>
        <w:t xml:space="preserve">Figure </w:t>
      </w:r>
      <w:r w:rsidR="00BB3BD8">
        <w:rPr>
          <w:rFonts w:ascii="Century Gothic" w:eastAsia="Century Gothic" w:hAnsi="Century Gothic" w:cs="Century Gothic"/>
          <w:b/>
          <w:bCs/>
          <w:sz w:val="18"/>
          <w:szCs w:val="18"/>
        </w:rPr>
        <w:t>5.</w:t>
      </w:r>
      <w:r w:rsidRPr="5EC82F99">
        <w:rPr>
          <w:rFonts w:ascii="Century Gothic" w:eastAsia="Century Gothic" w:hAnsi="Century Gothic" w:cs="Century Gothic"/>
          <w:sz w:val="18"/>
          <w:szCs w:val="18"/>
        </w:rPr>
        <w:t xml:space="preserve">  </w:t>
      </w:r>
      <w:r w:rsidR="009C20F1" w:rsidRPr="009C20F1">
        <w:rPr>
          <w:rFonts w:ascii="Century Gothic" w:eastAsia="Century Gothic" w:hAnsi="Century Gothic" w:cs="Century Gothic"/>
          <w:sz w:val="18"/>
          <w:szCs w:val="18"/>
        </w:rPr>
        <w:t>Daily closing price of INCO with the designated intervention point (T = 122).</w:t>
      </w:r>
    </w:p>
    <w:p w14:paraId="20976C64" w14:textId="529774B0" w:rsidR="004331E1" w:rsidRPr="008B4249" w:rsidRDefault="00E02C6F" w:rsidP="006E2E32">
      <w:pPr>
        <w:spacing w:after="240"/>
        <w:ind w:firstLine="284"/>
        <w:rPr>
          <w:rFonts w:ascii="Century Gothic" w:eastAsia="Century Gothic" w:hAnsi="Century Gothic" w:cs="Century Gothic"/>
          <w:sz w:val="18"/>
          <w:szCs w:val="18"/>
        </w:rPr>
      </w:pPr>
      <w:r w:rsidRPr="00E02C6F">
        <w:rPr>
          <w:rFonts w:ascii="Century Gothic" w:eastAsia="Century Gothic" w:hAnsi="Century Gothic" w:cs="Century Gothic"/>
          <w:sz w:val="18"/>
          <w:szCs w:val="18"/>
        </w:rPr>
        <w:t xml:space="preserve">Figure 5 plots the daily closing prices for INCO (IDR) across 163 observations, highlighting the exact policy intervention at </w:t>
      </w:r>
      <m:oMath>
        <m:r>
          <w:rPr>
            <w:rFonts w:ascii="Cambria Math" w:eastAsia="Century Gothic" w:hAnsi="Cambria Math" w:cs="Century Gothic"/>
            <w:sz w:val="18"/>
            <w:szCs w:val="18"/>
          </w:rPr>
          <m:t>T=122</m:t>
        </m:r>
      </m:oMath>
      <w:r w:rsidRPr="00E02C6F">
        <w:rPr>
          <w:rFonts w:ascii="Century Gothic" w:eastAsia="Century Gothic" w:hAnsi="Century Gothic" w:cs="Century Gothic"/>
          <w:sz w:val="18"/>
          <w:szCs w:val="18"/>
        </w:rPr>
        <w:t>. The data split follows a strict chronological order with zero overlap. The first 142 observations of the lagged dataframe form the training set (</w:t>
      </w:r>
      <m:oMath>
        <m:r>
          <w:rPr>
            <w:rFonts w:ascii="Cambria Math" w:eastAsia="Century Gothic" w:hAnsi="Cambria Math" w:cs="Century Gothic"/>
            <w:sz w:val="18"/>
            <w:szCs w:val="18"/>
          </w:rPr>
          <m:t>n=142</m:t>
        </m:r>
      </m:oMath>
      <w:r w:rsidRPr="00E02C6F">
        <w:rPr>
          <w:rFonts w:ascii="Century Gothic" w:eastAsia="Century Gothic" w:hAnsi="Century Gothic" w:cs="Century Gothic"/>
          <w:sz w:val="18"/>
          <w:szCs w:val="18"/>
        </w:rPr>
        <w:t xml:space="preserve">, roughly </w:t>
      </w:r>
      <m:oMath>
        <m:r>
          <w:rPr>
            <w:rFonts w:ascii="Cambria Math" w:eastAsia="Century Gothic" w:hAnsi="Cambria Math" w:cs="Century Gothic"/>
            <w:sz w:val="18"/>
            <w:szCs w:val="18"/>
          </w:rPr>
          <m:t>88%</m:t>
        </m:r>
      </m:oMath>
      <w:r w:rsidRPr="00E02C6F">
        <w:rPr>
          <w:rFonts w:ascii="Century Gothic" w:eastAsia="Century Gothic" w:hAnsi="Century Gothic" w:cs="Century Gothic"/>
          <w:sz w:val="18"/>
          <w:szCs w:val="18"/>
        </w:rPr>
        <w:t xml:space="preserve"> of the effective sample). The remaining observations from </w:t>
      </w:r>
      <m:oMath>
        <m:r>
          <w:rPr>
            <w:rFonts w:ascii="Cambria Math" w:eastAsia="Century Gothic" w:hAnsi="Cambria Math" w:cs="Century Gothic"/>
            <w:sz w:val="18"/>
            <w:szCs w:val="18"/>
          </w:rPr>
          <m:t>143</m:t>
        </m:r>
      </m:oMath>
      <w:r w:rsidRPr="00E02C6F">
        <w:rPr>
          <w:rFonts w:ascii="Century Gothic" w:eastAsia="Century Gothic" w:hAnsi="Century Gothic" w:cs="Century Gothic"/>
          <w:sz w:val="18"/>
          <w:szCs w:val="18"/>
        </w:rPr>
        <w:t xml:space="preserve"> to </w:t>
      </w:r>
      <m:oMath>
        <m:r>
          <w:rPr>
            <w:rFonts w:ascii="Cambria Math" w:eastAsia="Century Gothic" w:hAnsi="Cambria Math" w:cs="Century Gothic"/>
            <w:sz w:val="18"/>
            <w:szCs w:val="18"/>
          </w:rPr>
          <m:t>162</m:t>
        </m:r>
      </m:oMath>
      <w:r w:rsidRPr="00E02C6F">
        <w:rPr>
          <w:rFonts w:ascii="Century Gothic" w:eastAsia="Century Gothic" w:hAnsi="Century Gothic" w:cs="Century Gothic"/>
          <w:sz w:val="18"/>
          <w:szCs w:val="18"/>
        </w:rPr>
        <w:t xml:space="preserve"> serve as the testing set (</w:t>
      </w:r>
      <m:oMath>
        <m:r>
          <w:rPr>
            <w:rFonts w:ascii="Cambria Math" w:eastAsia="Century Gothic" w:hAnsi="Cambria Math" w:cs="Century Gothic"/>
            <w:sz w:val="18"/>
            <w:szCs w:val="18"/>
          </w:rPr>
          <m:t>n=20</m:t>
        </m:r>
      </m:oMath>
      <w:r w:rsidRPr="00E02C6F">
        <w:rPr>
          <w:rFonts w:ascii="Century Gothic" w:eastAsia="Century Gothic" w:hAnsi="Century Gothic" w:cs="Century Gothic"/>
          <w:sz w:val="18"/>
          <w:szCs w:val="18"/>
        </w:rPr>
        <w:t xml:space="preserve">, approximately </w:t>
      </w:r>
      <m:oMath>
        <m:r>
          <w:rPr>
            <w:rFonts w:ascii="Cambria Math" w:eastAsia="Century Gothic" w:hAnsi="Cambria Math" w:cs="Century Gothic"/>
            <w:sz w:val="18"/>
            <w:szCs w:val="18"/>
          </w:rPr>
          <m:t>12%</m:t>
        </m:r>
      </m:oMath>
      <w:r w:rsidRPr="00E02C6F">
        <w:rPr>
          <w:rFonts w:ascii="Century Gothic" w:eastAsia="Century Gothic" w:hAnsi="Century Gothic" w:cs="Century Gothic"/>
          <w:sz w:val="18"/>
          <w:szCs w:val="18"/>
        </w:rPr>
        <w:t xml:space="preserve">). </w:t>
      </w:r>
      <w:r w:rsidRPr="00E02C6F">
        <w:rPr>
          <w:rFonts w:ascii="Century Gothic" w:eastAsia="Century Gothic" w:hAnsi="Century Gothic" w:cs="Century Gothic"/>
          <w:sz w:val="18"/>
          <w:szCs w:val="18"/>
        </w:rPr>
        <w:t xml:space="preserve">This specific division was locked in place before any models were estimated. The testing window spans actual prices between IDR 5,925 and IDR 7,350. This range captures the sustained high-price plateau established after the intervention, guaranteeing a true out-of-sample evaluation. Both models rely on a one-period lagged input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d>
              <m:dPr>
                <m:begChr m:val="{"/>
                <m:endChr m:val="}"/>
                <m:ctrlPr>
                  <w:rPr>
                    <w:rFonts w:ascii="Cambria Math" w:eastAsia="Century Gothic" w:hAnsi="Cambria Math" w:cs="Century Gothic"/>
                    <w:i/>
                    <w:sz w:val="18"/>
                    <w:szCs w:val="18"/>
                  </w:rPr>
                </m:ctrlPr>
              </m:dPr>
              <m:e>
                <m:r>
                  <w:rPr>
                    <w:rFonts w:ascii="Cambria Math" w:eastAsia="Century Gothic" w:hAnsi="Cambria Math" w:cs="Century Gothic"/>
                    <w:sz w:val="18"/>
                    <w:szCs w:val="18"/>
                  </w:rPr>
                  <m:t>t-1</m:t>
                </m:r>
              </m:e>
            </m:d>
          </m:sub>
        </m:sSub>
      </m:oMath>
      <w:r w:rsidR="00364D50">
        <w:rPr>
          <w:rFonts w:ascii="Century Gothic" w:eastAsia="Century Gothic" w:hAnsi="Century Gothic" w:cs="Century Gothic"/>
          <w:sz w:val="18"/>
          <w:szCs w:val="18"/>
        </w:rPr>
        <w:t xml:space="preserve">.. </w:t>
      </w:r>
      <w:r w:rsidRPr="00E02C6F">
        <w:rPr>
          <w:rFonts w:ascii="Century Gothic" w:eastAsia="Century Gothic" w:hAnsi="Century Gothic" w:cs="Century Gothic"/>
          <w:sz w:val="18"/>
          <w:szCs w:val="18"/>
        </w:rPr>
        <w:t>Constructing this lag naturally drops the very first data point, which reduces the final effective sample from 163 to 162 observations.</w:t>
      </w:r>
    </w:p>
    <w:p w14:paraId="7BB95691" w14:textId="3D3CC85F" w:rsidR="004331E1" w:rsidRDefault="5EC82F99" w:rsidP="006E2E32">
      <w:pPr>
        <w:rPr>
          <w:rFonts w:ascii="Century Gothic" w:eastAsia="Century Gothic" w:hAnsi="Century Gothic" w:cs="Century Gothic"/>
          <w:b/>
          <w:bCs/>
          <w:color w:val="943634"/>
          <w:sz w:val="18"/>
          <w:szCs w:val="18"/>
        </w:rPr>
      </w:pPr>
      <w:proofErr w:type="gramStart"/>
      <w:r w:rsidRPr="00E00D7C">
        <w:rPr>
          <w:rFonts w:ascii="Century Gothic" w:eastAsia="Century Gothic" w:hAnsi="Century Gothic" w:cs="Century Gothic"/>
          <w:b/>
          <w:bCs/>
          <w:color w:val="943634"/>
          <w:sz w:val="18"/>
          <w:szCs w:val="18"/>
        </w:rPr>
        <w:t>3.2  Step</w:t>
      </w:r>
      <w:proofErr w:type="gramEnd"/>
      <w:r w:rsidRPr="00E00D7C">
        <w:rPr>
          <w:rFonts w:ascii="Century Gothic" w:eastAsia="Century Gothic" w:hAnsi="Century Gothic" w:cs="Century Gothic"/>
          <w:b/>
          <w:bCs/>
          <w:color w:val="943634"/>
          <w:sz w:val="18"/>
          <w:szCs w:val="18"/>
        </w:rPr>
        <w:t xml:space="preserve"> Function Intervention Model</w:t>
      </w:r>
    </w:p>
    <w:p w14:paraId="6BFC8582" w14:textId="77777777" w:rsidR="00E00D7C" w:rsidRPr="00E00D7C" w:rsidRDefault="00E00D7C" w:rsidP="006E2E32">
      <w:pPr>
        <w:rPr>
          <w:rFonts w:ascii="Century Gothic" w:eastAsia="Century Gothic" w:hAnsi="Century Gothic" w:cs="Century Gothic"/>
          <w:b/>
          <w:bCs/>
          <w:color w:val="943634"/>
          <w:sz w:val="18"/>
          <w:szCs w:val="18"/>
        </w:rPr>
      </w:pPr>
    </w:p>
    <w:p w14:paraId="3938E529" w14:textId="4DAD67B0" w:rsidR="00F93ABA" w:rsidRDefault="00F93ABA" w:rsidP="006E2E32">
      <w:pPr>
        <w:rPr>
          <w:rFonts w:ascii="Century Gothic" w:eastAsia="Century Gothic" w:hAnsi="Century Gothic" w:cs="Century Gothic"/>
          <w:b/>
          <w:bCs/>
          <w:color w:val="943634"/>
          <w:sz w:val="18"/>
          <w:szCs w:val="18"/>
        </w:rPr>
      </w:pPr>
      <w:r w:rsidRPr="00E00D7C">
        <w:rPr>
          <w:rFonts w:ascii="Century Gothic" w:eastAsia="Century Gothic" w:hAnsi="Century Gothic" w:cs="Century Gothic"/>
          <w:b/>
          <w:bCs/>
          <w:color w:val="943634"/>
          <w:sz w:val="18"/>
          <w:szCs w:val="18"/>
        </w:rPr>
        <w:t xml:space="preserve">3.2.1 Data </w:t>
      </w:r>
      <w:r w:rsidR="00DA006C" w:rsidRPr="00E00D7C">
        <w:rPr>
          <w:rFonts w:ascii="Century Gothic" w:eastAsia="Century Gothic" w:hAnsi="Century Gothic" w:cs="Century Gothic"/>
          <w:b/>
          <w:bCs/>
          <w:color w:val="943634"/>
          <w:sz w:val="18"/>
          <w:szCs w:val="18"/>
        </w:rPr>
        <w:t>intervention modelling</w:t>
      </w:r>
    </w:p>
    <w:p w14:paraId="37BEAADF" w14:textId="77777777" w:rsidR="00E00D7C" w:rsidRPr="00E00D7C" w:rsidRDefault="00E00D7C" w:rsidP="006E2E32">
      <w:pPr>
        <w:rPr>
          <w:rFonts w:ascii="Century Gothic" w:eastAsia="Century Gothic" w:hAnsi="Century Gothic" w:cs="Century Gothic"/>
          <w:b/>
          <w:bCs/>
          <w:color w:val="943634"/>
          <w:sz w:val="18"/>
          <w:szCs w:val="18"/>
        </w:rPr>
      </w:pPr>
    </w:p>
    <w:p w14:paraId="1FC8E3C9" w14:textId="56BC3893" w:rsidR="00F93ABA" w:rsidRPr="008272AC" w:rsidRDefault="00F93ABA" w:rsidP="00F3357C">
      <w:pPr>
        <w:rPr>
          <w:rFonts w:ascii="Century Gothic" w:eastAsia="Century Gothic" w:hAnsi="Century Gothic" w:cs="Century Gothic"/>
          <w:sz w:val="18"/>
          <w:szCs w:val="18"/>
        </w:rPr>
      </w:pPr>
      <w:r w:rsidRPr="008272AC">
        <w:rPr>
          <w:rFonts w:ascii="Century Gothic" w:eastAsia="Century Gothic" w:hAnsi="Century Gothic" w:cs="Century Gothic"/>
          <w:sz w:val="18"/>
          <w:szCs w:val="18"/>
        </w:rPr>
        <w:t>To identify the impact of the intervention on the time series, the data was visualized using a time series plot, with the intervention period and test data clearly marked.</w:t>
      </w:r>
    </w:p>
    <w:p w14:paraId="3202D1E2" w14:textId="77777777" w:rsidR="00BB3BD8" w:rsidRDefault="00016F3C" w:rsidP="006E2E32">
      <w:pPr>
        <w:keepNext/>
        <w:jc w:val="center"/>
      </w:pPr>
      <w:r w:rsidRPr="008272AC">
        <w:rPr>
          <w:rFonts w:ascii="Century Gothic" w:hAnsi="Century Gothic"/>
          <w:noProof/>
          <w:color w:val="000000"/>
          <w:sz w:val="18"/>
          <w:szCs w:val="18"/>
        </w:rPr>
        <w:drawing>
          <wp:inline distT="0" distB="0" distL="0" distR="0" wp14:anchorId="011485FE" wp14:editId="753D40AB">
            <wp:extent cx="2629259" cy="1807028"/>
            <wp:effectExtent l="0" t="0" r="0" b="0"/>
            <wp:docPr id="1979537087" name="Picture 1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37087" name="Picture 11" descr="A graph with a line&#10;&#10;AI-generated content may be incorrect."/>
                    <pic:cNvPicPr/>
                  </pic:nvPicPr>
                  <pic:blipFill rotWithShape="1">
                    <a:blip r:embed="rId23" cstate="print">
                      <a:extLst>
                        <a:ext uri="{28A0092B-C50C-407E-A947-70E740481C1C}">
                          <a14:useLocalDpi xmlns:a14="http://schemas.microsoft.com/office/drawing/2010/main" val="0"/>
                        </a:ext>
                      </a:extLst>
                    </a:blip>
                    <a:srcRect t="5762" b="2835"/>
                    <a:stretch>
                      <a:fillRect/>
                    </a:stretch>
                  </pic:blipFill>
                  <pic:spPr bwMode="auto">
                    <a:xfrm>
                      <a:off x="0" y="0"/>
                      <a:ext cx="2686534" cy="1846392"/>
                    </a:xfrm>
                    <a:prstGeom prst="rect">
                      <a:avLst/>
                    </a:prstGeom>
                    <a:ln>
                      <a:noFill/>
                    </a:ln>
                    <a:extLst>
                      <a:ext uri="{53640926-AAD7-44D8-BBD7-CCE9431645EC}">
                        <a14:shadowObscured xmlns:a14="http://schemas.microsoft.com/office/drawing/2010/main"/>
                      </a:ext>
                    </a:extLst>
                  </pic:spPr>
                </pic:pic>
              </a:graphicData>
            </a:graphic>
          </wp:inline>
        </w:drawing>
      </w:r>
    </w:p>
    <w:p w14:paraId="398D4736" w14:textId="313504A7" w:rsidR="00016F3C" w:rsidRPr="009C20F1" w:rsidRDefault="00BB3BD8" w:rsidP="006E2E32">
      <w:pPr>
        <w:pStyle w:val="Caption"/>
        <w:jc w:val="center"/>
        <w:rPr>
          <w:rFonts w:ascii="Century Gothic" w:eastAsia="Century Gothic" w:hAnsi="Century Gothic" w:cs="Century Gothic"/>
          <w:i w:val="0"/>
          <w:iCs w:val="0"/>
        </w:rPr>
      </w:pPr>
      <w:r w:rsidRPr="009C20F1">
        <w:rPr>
          <w:rFonts w:ascii="Century Gothic" w:hAnsi="Century Gothic"/>
          <w:b/>
          <w:bCs/>
          <w:i w:val="0"/>
          <w:iCs w:val="0"/>
        </w:rPr>
        <w:t>Figure 6.</w:t>
      </w:r>
      <w:r w:rsidRPr="009C20F1">
        <w:rPr>
          <w:rFonts w:ascii="Century Gothic" w:hAnsi="Century Gothic"/>
          <w:i w:val="0"/>
          <w:iCs w:val="0"/>
        </w:rPr>
        <w:t xml:space="preserve"> </w:t>
      </w:r>
      <w:r w:rsidR="009C20F1" w:rsidRPr="009C20F1">
        <w:rPr>
          <w:rFonts w:ascii="Century Gothic" w:hAnsi="Century Gothic"/>
          <w:i w:val="0"/>
          <w:iCs w:val="0"/>
        </w:rPr>
        <w:t>INCO time series displaying the pre- and post-intervention structural shift.</w:t>
      </w:r>
    </w:p>
    <w:p w14:paraId="1B688640" w14:textId="5DC724F9" w:rsidR="004331E1" w:rsidRDefault="00016F3C" w:rsidP="006E2E32">
      <w:pPr>
        <w:pStyle w:val="NormalWeb"/>
        <w:spacing w:before="0" w:beforeAutospacing="0" w:after="0" w:afterAutospacing="0"/>
        <w:ind w:firstLine="284"/>
        <w:jc w:val="both"/>
        <w:rPr>
          <w:rStyle w:val="apple-converted-space"/>
          <w:rFonts w:ascii="Century Gothic" w:hAnsi="Century Gothic"/>
          <w:color w:val="000000"/>
          <w:sz w:val="18"/>
          <w:szCs w:val="18"/>
        </w:rPr>
      </w:pPr>
      <w:r w:rsidRPr="008272AC">
        <w:rPr>
          <w:rFonts w:ascii="Century Gothic" w:hAnsi="Century Gothic"/>
          <w:color w:val="000000"/>
          <w:sz w:val="18"/>
          <w:szCs w:val="18"/>
        </w:rPr>
        <w:t xml:space="preserve">Based on the plot, it can be seen that prior to the intervention period, the data fluctuated within a relatively stable range. However, after the intervention point (red line), there was a significant increase in the level, and the time series tended to remain at a higher </w:t>
      </w:r>
      <w:r w:rsidRPr="008272AC">
        <w:rPr>
          <w:rFonts w:ascii="Century Gothic" w:hAnsi="Century Gothic"/>
          <w:color w:val="000000"/>
          <w:sz w:val="18"/>
          <w:szCs w:val="18"/>
        </w:rPr>
        <w:lastRenderedPageBreak/>
        <w:t xml:space="preserve">level through the subsequent period, including in the test data (green line). This indicates a structural change in the time series resulting from the intervention. The characteristics of this change indicate that the intervention effect is permanent and does not revert to the initial condition, making it unsuitable to be </w:t>
      </w:r>
      <w:proofErr w:type="spellStart"/>
      <w:r w:rsidRPr="008272AC">
        <w:rPr>
          <w:rFonts w:ascii="Century Gothic" w:hAnsi="Century Gothic"/>
          <w:color w:val="000000"/>
          <w:sz w:val="18"/>
          <w:szCs w:val="18"/>
        </w:rPr>
        <w:t>modeled</w:t>
      </w:r>
      <w:proofErr w:type="spellEnd"/>
      <w:r w:rsidRPr="008272AC">
        <w:rPr>
          <w:rFonts w:ascii="Century Gothic" w:hAnsi="Century Gothic"/>
          <w:color w:val="000000"/>
          <w:sz w:val="18"/>
          <w:szCs w:val="18"/>
        </w:rPr>
        <w:t xml:space="preserve"> using a pulse function. Therefore, a step function is used because it is capable of representing the long-term level shift in the time series following the intervention.</w:t>
      </w:r>
      <w:r w:rsidRPr="008272AC">
        <w:rPr>
          <w:rStyle w:val="apple-converted-space"/>
          <w:rFonts w:ascii="Century Gothic" w:hAnsi="Century Gothic"/>
          <w:color w:val="000000"/>
          <w:sz w:val="18"/>
          <w:szCs w:val="18"/>
        </w:rPr>
        <w:t> </w:t>
      </w:r>
    </w:p>
    <w:p w14:paraId="4492ED34" w14:textId="77777777" w:rsidR="00E00D7C" w:rsidRPr="008272AC" w:rsidRDefault="00E00D7C" w:rsidP="006E2E32">
      <w:pPr>
        <w:pStyle w:val="NormalWeb"/>
        <w:spacing w:before="0" w:beforeAutospacing="0" w:after="0" w:afterAutospacing="0"/>
        <w:ind w:firstLine="284"/>
        <w:jc w:val="both"/>
        <w:rPr>
          <w:rStyle w:val="apple-converted-space"/>
          <w:rFonts w:ascii="Century Gothic" w:hAnsi="Century Gothic"/>
          <w:color w:val="000000"/>
          <w:sz w:val="18"/>
          <w:szCs w:val="18"/>
        </w:rPr>
      </w:pPr>
    </w:p>
    <w:p w14:paraId="7D53E7D5" w14:textId="3E4E70D9" w:rsidR="00016F3C" w:rsidRDefault="00016F3C" w:rsidP="006E2E32">
      <w:pPr>
        <w:pStyle w:val="NormalWeb"/>
        <w:spacing w:before="0" w:beforeAutospacing="0" w:after="0" w:afterAutospacing="0"/>
        <w:jc w:val="both"/>
        <w:rPr>
          <w:rStyle w:val="apple-converted-space"/>
          <w:rFonts w:ascii="Century Gothic" w:hAnsi="Century Gothic"/>
          <w:b/>
          <w:bCs/>
          <w:color w:val="943634"/>
          <w:sz w:val="18"/>
          <w:szCs w:val="18"/>
        </w:rPr>
      </w:pPr>
      <w:r w:rsidRPr="00E00D7C">
        <w:rPr>
          <w:rStyle w:val="apple-converted-space"/>
          <w:rFonts w:ascii="Century Gothic" w:hAnsi="Century Gothic"/>
          <w:b/>
          <w:bCs/>
          <w:color w:val="943634"/>
          <w:sz w:val="18"/>
          <w:szCs w:val="18"/>
        </w:rPr>
        <w:t>3.2.2</w:t>
      </w:r>
      <w:r w:rsidR="00E228A1" w:rsidRPr="00E00D7C">
        <w:rPr>
          <w:rStyle w:val="apple-converted-space"/>
          <w:rFonts w:ascii="Century Gothic" w:hAnsi="Century Gothic"/>
          <w:b/>
          <w:bCs/>
          <w:color w:val="943634"/>
          <w:sz w:val="18"/>
          <w:szCs w:val="18"/>
        </w:rPr>
        <w:t xml:space="preserve"> Stationarity</w:t>
      </w:r>
      <w:r w:rsidR="00995691" w:rsidRPr="00E00D7C">
        <w:rPr>
          <w:rStyle w:val="apple-converted-space"/>
          <w:rFonts w:ascii="Century Gothic" w:hAnsi="Century Gothic"/>
          <w:b/>
          <w:bCs/>
          <w:color w:val="943634"/>
          <w:sz w:val="18"/>
          <w:szCs w:val="18"/>
        </w:rPr>
        <w:t xml:space="preserve"> Identification</w:t>
      </w:r>
    </w:p>
    <w:p w14:paraId="397CAF9F" w14:textId="77777777" w:rsidR="00E00D7C" w:rsidRPr="00E00D7C" w:rsidRDefault="00E00D7C" w:rsidP="006E2E32">
      <w:pPr>
        <w:pStyle w:val="NormalWeb"/>
        <w:spacing w:before="0" w:beforeAutospacing="0" w:after="0" w:afterAutospacing="0"/>
        <w:jc w:val="both"/>
        <w:rPr>
          <w:rStyle w:val="apple-converted-space"/>
          <w:rFonts w:ascii="Century Gothic" w:hAnsi="Century Gothic"/>
          <w:b/>
          <w:bCs/>
          <w:color w:val="943634"/>
          <w:sz w:val="18"/>
          <w:szCs w:val="18"/>
        </w:rPr>
      </w:pPr>
    </w:p>
    <w:p w14:paraId="2588F141" w14:textId="03C8FBDF" w:rsidR="00D96FC3" w:rsidRPr="00FA6A2F" w:rsidRDefault="009C015F" w:rsidP="00F3357C">
      <w:pPr>
        <w:pStyle w:val="NormalWeb"/>
        <w:spacing w:before="0" w:beforeAutospacing="0" w:after="0" w:afterAutospacing="0"/>
        <w:jc w:val="both"/>
        <w:rPr>
          <w:rFonts w:ascii="Century Gothic" w:hAnsi="Century Gothic"/>
          <w:color w:val="000000"/>
          <w:sz w:val="18"/>
          <w:szCs w:val="18"/>
        </w:rPr>
      </w:pPr>
      <w:r w:rsidRPr="009C015F">
        <w:rPr>
          <w:rFonts w:ascii="Century Gothic" w:hAnsi="Century Gothic"/>
          <w:color w:val="000000"/>
          <w:sz w:val="18"/>
          <w:szCs w:val="18"/>
        </w:rPr>
        <w:t>To check the stationarity of the data, a Box-Cox transformation is performed to obtain the optimal lambda, and differencing is applied if the ACF and PACF plots are not mean-stationary.</w:t>
      </w:r>
      <w:r w:rsidR="00E66D0E">
        <w:rPr>
          <w:rFonts w:ascii="Century Gothic" w:hAnsi="Century Gothic"/>
          <w:color w:val="000000"/>
          <w:sz w:val="18"/>
          <w:szCs w:val="18"/>
        </w:rPr>
        <w:t xml:space="preserve"> </w:t>
      </w:r>
      <w:r w:rsidR="00FA6A2F" w:rsidRPr="00FA6A2F">
        <w:rPr>
          <w:rFonts w:ascii="Century Gothic" w:hAnsi="Century Gothic"/>
          <w:color w:val="000000"/>
          <w:sz w:val="18"/>
          <w:szCs w:val="18"/>
        </w:rPr>
        <w:t>To address the instability of the variance, a Box-Cox transformation was performed to determine the optimal transformation parameter.</w:t>
      </w:r>
    </w:p>
    <w:p w14:paraId="4C87E19B" w14:textId="32FFE0C2" w:rsidR="009A3F5F" w:rsidRPr="009A3F5F" w:rsidRDefault="009A3F5F" w:rsidP="006E2E32">
      <w:pPr>
        <w:pStyle w:val="Caption"/>
        <w:keepNext/>
        <w:spacing w:after="0"/>
        <w:jc w:val="center"/>
        <w:rPr>
          <w:rFonts w:ascii="Century Gothic" w:hAnsi="Century Gothic"/>
          <w:i w:val="0"/>
          <w:iCs w:val="0"/>
        </w:rPr>
      </w:pPr>
      <w:r w:rsidRPr="009A3F5F">
        <w:rPr>
          <w:rFonts w:ascii="Century Gothic" w:hAnsi="Century Gothic"/>
          <w:b/>
          <w:bCs/>
          <w:i w:val="0"/>
          <w:iCs w:val="0"/>
        </w:rPr>
        <w:t xml:space="preserve">Table </w:t>
      </w:r>
      <w:r w:rsidR="001E78CA">
        <w:rPr>
          <w:rFonts w:ascii="Century Gothic" w:hAnsi="Century Gothic"/>
          <w:b/>
          <w:bCs/>
          <w:i w:val="0"/>
          <w:iCs w:val="0"/>
        </w:rPr>
        <w:t>4.</w:t>
      </w:r>
      <w:r w:rsidRPr="009A3F5F">
        <w:rPr>
          <w:rFonts w:ascii="Century Gothic" w:hAnsi="Century Gothic"/>
          <w:i w:val="0"/>
          <w:iCs w:val="0"/>
        </w:rPr>
        <w:t xml:space="preserve"> Box-Cox transformation</w:t>
      </w:r>
    </w:p>
    <w:tbl>
      <w:tblPr>
        <w:tblStyle w:val="TableGrid"/>
        <w:tblW w:w="0" w:type="auto"/>
        <w:tblInd w:w="99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851"/>
      </w:tblGrid>
      <w:tr w:rsidR="00FA6A2F" w:rsidRPr="008272AC" w14:paraId="24FC4DE6" w14:textId="77777777" w:rsidTr="009A3F5F">
        <w:tc>
          <w:tcPr>
            <w:tcW w:w="2693" w:type="dxa"/>
            <w:gridSpan w:val="2"/>
            <w:tcBorders>
              <w:top w:val="single" w:sz="4" w:space="0" w:color="auto"/>
              <w:bottom w:val="single" w:sz="4" w:space="0" w:color="auto"/>
            </w:tcBorders>
          </w:tcPr>
          <w:p w14:paraId="2D58AC82" w14:textId="77777777" w:rsidR="00FA6A2F" w:rsidRPr="008272AC" w:rsidRDefault="00FA6A2F" w:rsidP="006E2E32">
            <w:pPr>
              <w:jc w:val="center"/>
              <w:rPr>
                <w:rFonts w:ascii="Century Gothic" w:hAnsi="Century Gothic"/>
                <w:b/>
                <w:bCs/>
                <w:sz w:val="18"/>
                <w:szCs w:val="18"/>
              </w:rPr>
            </w:pPr>
            <m:oMathPara>
              <m:oMath>
                <m:r>
                  <m:rPr>
                    <m:sty m:val="bi"/>
                  </m:rPr>
                  <w:rPr>
                    <w:rFonts w:ascii="Cambria Math" w:hAnsi="Cambria Math"/>
                    <w:sz w:val="18"/>
                    <w:szCs w:val="18"/>
                  </w:rPr>
                  <m:t>λ</m:t>
                </m:r>
              </m:oMath>
            </m:oMathPara>
          </w:p>
          <w:p w14:paraId="3DDEBCC3" w14:textId="77777777" w:rsidR="00FA6A2F" w:rsidRPr="008272AC" w:rsidRDefault="00FA6A2F" w:rsidP="006E2E32">
            <w:pPr>
              <w:jc w:val="center"/>
              <w:rPr>
                <w:rFonts w:ascii="Century Gothic" w:hAnsi="Century Gothic"/>
                <w:sz w:val="18"/>
                <w:szCs w:val="18"/>
              </w:rPr>
            </w:pPr>
            <w:r w:rsidRPr="008272AC">
              <w:rPr>
                <w:rFonts w:ascii="Century Gothic" w:hAnsi="Century Gothic"/>
                <w:sz w:val="18"/>
                <w:szCs w:val="18"/>
              </w:rPr>
              <w:t xml:space="preserve">(using 95% </w:t>
            </w:r>
            <w:proofErr w:type="gramStart"/>
            <w:r w:rsidRPr="008272AC">
              <w:rPr>
                <w:rFonts w:ascii="Century Gothic" w:hAnsi="Century Gothic"/>
                <w:sz w:val="18"/>
                <w:szCs w:val="18"/>
              </w:rPr>
              <w:t>confidence )</w:t>
            </w:r>
            <w:proofErr w:type="gramEnd"/>
          </w:p>
        </w:tc>
      </w:tr>
      <w:tr w:rsidR="00FA6A2F" w:rsidRPr="008272AC" w14:paraId="07B6D7A8" w14:textId="77777777" w:rsidTr="009A3F5F">
        <w:tc>
          <w:tcPr>
            <w:tcW w:w="1842" w:type="dxa"/>
            <w:tcBorders>
              <w:top w:val="single" w:sz="4" w:space="0" w:color="auto"/>
              <w:bottom w:val="nil"/>
            </w:tcBorders>
          </w:tcPr>
          <w:p w14:paraId="7E4527D9" w14:textId="77777777" w:rsidR="00FA6A2F" w:rsidRPr="008272AC" w:rsidRDefault="00FA6A2F" w:rsidP="006E2E32">
            <w:pPr>
              <w:rPr>
                <w:rFonts w:ascii="Century Gothic" w:hAnsi="Century Gothic"/>
                <w:color w:val="000000"/>
                <w:sz w:val="18"/>
                <w:szCs w:val="18"/>
              </w:rPr>
            </w:pPr>
            <w:r w:rsidRPr="008272AC">
              <w:rPr>
                <w:rFonts w:ascii="Century Gothic" w:hAnsi="Century Gothic"/>
                <w:color w:val="000000"/>
                <w:sz w:val="18"/>
                <w:szCs w:val="18"/>
              </w:rPr>
              <w:t>Estimate</w:t>
            </w:r>
          </w:p>
        </w:tc>
        <w:tc>
          <w:tcPr>
            <w:tcW w:w="851" w:type="dxa"/>
            <w:tcBorders>
              <w:top w:val="single" w:sz="4" w:space="0" w:color="auto"/>
              <w:bottom w:val="nil"/>
            </w:tcBorders>
          </w:tcPr>
          <w:p w14:paraId="3E16B1FC" w14:textId="77777777" w:rsidR="00FA6A2F" w:rsidRPr="008272AC" w:rsidRDefault="00FA6A2F" w:rsidP="006E2E32">
            <w:pPr>
              <w:jc w:val="center"/>
              <w:rPr>
                <w:rFonts w:ascii="Century Gothic" w:hAnsi="Century Gothic"/>
                <w:color w:val="000000"/>
                <w:sz w:val="18"/>
                <w:szCs w:val="18"/>
              </w:rPr>
            </w:pPr>
            <w:r w:rsidRPr="008272AC">
              <w:rPr>
                <w:rFonts w:ascii="Century Gothic" w:hAnsi="Century Gothic"/>
                <w:color w:val="000000"/>
                <w:sz w:val="18"/>
                <w:szCs w:val="18"/>
              </w:rPr>
              <w:t>0.01</w:t>
            </w:r>
          </w:p>
        </w:tc>
      </w:tr>
      <w:tr w:rsidR="00FA6A2F" w:rsidRPr="008272AC" w14:paraId="7EEFD4D7" w14:textId="77777777" w:rsidTr="009A3F5F">
        <w:tc>
          <w:tcPr>
            <w:tcW w:w="1842" w:type="dxa"/>
            <w:tcBorders>
              <w:top w:val="nil"/>
              <w:bottom w:val="nil"/>
            </w:tcBorders>
          </w:tcPr>
          <w:p w14:paraId="0C7C09F9" w14:textId="77777777" w:rsidR="00FA6A2F" w:rsidRPr="008272AC" w:rsidRDefault="00FA6A2F" w:rsidP="006E2E32">
            <w:pPr>
              <w:rPr>
                <w:rFonts w:ascii="Century Gothic" w:hAnsi="Century Gothic"/>
                <w:color w:val="000000"/>
                <w:sz w:val="18"/>
                <w:szCs w:val="18"/>
              </w:rPr>
            </w:pPr>
            <w:r w:rsidRPr="008272AC">
              <w:rPr>
                <w:rFonts w:ascii="Century Gothic" w:hAnsi="Century Gothic"/>
                <w:color w:val="000000"/>
                <w:sz w:val="18"/>
                <w:szCs w:val="18"/>
              </w:rPr>
              <w:t>Lower CL</w:t>
            </w:r>
          </w:p>
        </w:tc>
        <w:tc>
          <w:tcPr>
            <w:tcW w:w="851" w:type="dxa"/>
            <w:tcBorders>
              <w:top w:val="nil"/>
              <w:bottom w:val="nil"/>
            </w:tcBorders>
          </w:tcPr>
          <w:p w14:paraId="0D9742F1" w14:textId="77777777" w:rsidR="00FA6A2F" w:rsidRPr="008272AC" w:rsidRDefault="00FA6A2F" w:rsidP="006E2E32">
            <w:pPr>
              <w:jc w:val="center"/>
              <w:rPr>
                <w:rFonts w:ascii="Century Gothic" w:hAnsi="Century Gothic"/>
                <w:color w:val="000000"/>
                <w:sz w:val="18"/>
                <w:szCs w:val="18"/>
              </w:rPr>
            </w:pPr>
            <w:r w:rsidRPr="008272AC">
              <w:rPr>
                <w:rFonts w:ascii="Century Gothic" w:hAnsi="Century Gothic"/>
                <w:color w:val="000000"/>
                <w:sz w:val="18"/>
                <w:szCs w:val="18"/>
              </w:rPr>
              <w:t>-1.63</w:t>
            </w:r>
          </w:p>
        </w:tc>
      </w:tr>
      <w:tr w:rsidR="00FA6A2F" w:rsidRPr="008272AC" w14:paraId="024E952D" w14:textId="77777777" w:rsidTr="009A3F5F">
        <w:tc>
          <w:tcPr>
            <w:tcW w:w="1842" w:type="dxa"/>
            <w:tcBorders>
              <w:top w:val="nil"/>
              <w:bottom w:val="single" w:sz="4" w:space="0" w:color="auto"/>
            </w:tcBorders>
          </w:tcPr>
          <w:p w14:paraId="51C52C46" w14:textId="77777777" w:rsidR="00FA6A2F" w:rsidRPr="008272AC" w:rsidRDefault="00FA6A2F" w:rsidP="006E2E32">
            <w:pPr>
              <w:rPr>
                <w:rFonts w:ascii="Century Gothic" w:hAnsi="Century Gothic"/>
                <w:color w:val="000000"/>
                <w:sz w:val="18"/>
                <w:szCs w:val="18"/>
              </w:rPr>
            </w:pPr>
            <w:r w:rsidRPr="008272AC">
              <w:rPr>
                <w:rFonts w:ascii="Century Gothic" w:hAnsi="Century Gothic"/>
                <w:color w:val="000000"/>
                <w:sz w:val="18"/>
                <w:szCs w:val="18"/>
              </w:rPr>
              <w:t>Upper CL</w:t>
            </w:r>
          </w:p>
        </w:tc>
        <w:tc>
          <w:tcPr>
            <w:tcW w:w="851" w:type="dxa"/>
            <w:tcBorders>
              <w:top w:val="nil"/>
              <w:bottom w:val="single" w:sz="4" w:space="0" w:color="auto"/>
            </w:tcBorders>
          </w:tcPr>
          <w:p w14:paraId="14405020" w14:textId="77777777" w:rsidR="00FA6A2F" w:rsidRPr="008272AC" w:rsidRDefault="00FA6A2F" w:rsidP="006E2E32">
            <w:pPr>
              <w:jc w:val="center"/>
              <w:rPr>
                <w:rFonts w:ascii="Century Gothic" w:hAnsi="Century Gothic"/>
                <w:color w:val="000000"/>
                <w:sz w:val="18"/>
                <w:szCs w:val="18"/>
              </w:rPr>
            </w:pPr>
            <w:r w:rsidRPr="008272AC">
              <w:rPr>
                <w:rFonts w:ascii="Century Gothic" w:hAnsi="Century Gothic"/>
                <w:color w:val="000000"/>
                <w:sz w:val="18"/>
                <w:szCs w:val="18"/>
              </w:rPr>
              <w:t>1.94</w:t>
            </w:r>
          </w:p>
        </w:tc>
      </w:tr>
      <w:tr w:rsidR="00FA6A2F" w:rsidRPr="008272AC" w14:paraId="7715CE88" w14:textId="77777777" w:rsidTr="009A3F5F">
        <w:tc>
          <w:tcPr>
            <w:tcW w:w="1842" w:type="dxa"/>
            <w:tcBorders>
              <w:top w:val="single" w:sz="4" w:space="0" w:color="auto"/>
            </w:tcBorders>
          </w:tcPr>
          <w:p w14:paraId="1BBD7FA5" w14:textId="77777777" w:rsidR="00FA6A2F" w:rsidRPr="008272AC" w:rsidRDefault="00FA6A2F" w:rsidP="006E2E32">
            <w:pPr>
              <w:rPr>
                <w:rFonts w:ascii="Century Gothic" w:hAnsi="Century Gothic"/>
                <w:b/>
                <w:bCs/>
                <w:color w:val="000000"/>
                <w:sz w:val="18"/>
                <w:szCs w:val="18"/>
              </w:rPr>
            </w:pPr>
            <w:r w:rsidRPr="008272AC">
              <w:rPr>
                <w:rFonts w:ascii="Century Gothic" w:hAnsi="Century Gothic"/>
                <w:b/>
                <w:bCs/>
                <w:color w:val="000000"/>
                <w:sz w:val="18"/>
                <w:szCs w:val="18"/>
              </w:rPr>
              <w:t>Rounded Value</w:t>
            </w:r>
          </w:p>
        </w:tc>
        <w:tc>
          <w:tcPr>
            <w:tcW w:w="851" w:type="dxa"/>
            <w:tcBorders>
              <w:top w:val="single" w:sz="4" w:space="0" w:color="auto"/>
            </w:tcBorders>
          </w:tcPr>
          <w:p w14:paraId="4FD69B6F" w14:textId="77777777" w:rsidR="00FA6A2F" w:rsidRPr="008272AC" w:rsidRDefault="00FA6A2F" w:rsidP="006E2E32">
            <w:pPr>
              <w:rPr>
                <w:rFonts w:ascii="Century Gothic" w:hAnsi="Century Gothic"/>
                <w:b/>
                <w:bCs/>
                <w:color w:val="000000"/>
                <w:sz w:val="18"/>
                <w:szCs w:val="18"/>
              </w:rPr>
            </w:pPr>
            <w:r w:rsidRPr="008272AC">
              <w:rPr>
                <w:rFonts w:ascii="Century Gothic" w:hAnsi="Century Gothic"/>
                <w:b/>
                <w:bCs/>
                <w:color w:val="000000"/>
                <w:sz w:val="18"/>
                <w:szCs w:val="18"/>
              </w:rPr>
              <w:t>0.00</w:t>
            </w:r>
          </w:p>
        </w:tc>
      </w:tr>
    </w:tbl>
    <w:p w14:paraId="20E61EE4" w14:textId="77777777" w:rsidR="00E00D7C" w:rsidRDefault="00E00D7C" w:rsidP="006E2E32">
      <w:pPr>
        <w:ind w:firstLine="284"/>
        <w:rPr>
          <w:rFonts w:ascii="Century Gothic" w:hAnsi="Century Gothic"/>
          <w:color w:val="000000"/>
          <w:sz w:val="18"/>
          <w:szCs w:val="18"/>
          <w:lang w:val="en-ID"/>
        </w:rPr>
      </w:pPr>
    </w:p>
    <w:p w14:paraId="2B46EC40" w14:textId="7C173200" w:rsidR="004331E1" w:rsidRPr="008272AC" w:rsidRDefault="00FA6A2F" w:rsidP="006E2E32">
      <w:pPr>
        <w:ind w:firstLine="284"/>
        <w:rPr>
          <w:rFonts w:ascii="Century Gothic" w:hAnsi="Century Gothic"/>
          <w:color w:val="000000"/>
          <w:sz w:val="18"/>
          <w:szCs w:val="18"/>
          <w:lang w:val="en-ID"/>
        </w:rPr>
      </w:pPr>
      <w:r w:rsidRPr="00FA6A2F">
        <w:rPr>
          <w:rFonts w:ascii="Century Gothic" w:hAnsi="Century Gothic"/>
          <w:color w:val="000000"/>
          <w:sz w:val="18"/>
          <w:szCs w:val="18"/>
          <w:lang w:val="en-ID"/>
        </w:rPr>
        <w:t xml:space="preserve">The estimation results show that the obtained Box-Cox parameter value is λ = 0.00. This value indicates that the logarithmic transformation is the most appropriate form of transformation to stabilize the variance in the time series. Thus, the logarithmic transformation is applied before the next stage of analysis so that the data meets the assumption of stationarity of variance in ARIMA </w:t>
      </w:r>
      <w:proofErr w:type="spellStart"/>
      <w:r w:rsidRPr="00FA6A2F">
        <w:rPr>
          <w:rFonts w:ascii="Century Gothic" w:hAnsi="Century Gothic"/>
          <w:color w:val="000000"/>
          <w:sz w:val="18"/>
          <w:szCs w:val="18"/>
          <w:lang w:val="en-ID"/>
        </w:rPr>
        <w:t>modeling</w:t>
      </w:r>
      <w:proofErr w:type="spellEnd"/>
      <w:r w:rsidRPr="00FA6A2F">
        <w:rPr>
          <w:rFonts w:ascii="Century Gothic" w:hAnsi="Century Gothic"/>
          <w:color w:val="000000"/>
          <w:sz w:val="18"/>
          <w:szCs w:val="18"/>
          <w:lang w:val="en-ID"/>
        </w:rPr>
        <w:t>.</w:t>
      </w:r>
    </w:p>
    <w:p w14:paraId="495484FD" w14:textId="76329D0E" w:rsidR="00F1510F" w:rsidRPr="008272AC" w:rsidRDefault="00F1510F" w:rsidP="006E2E32">
      <w:pPr>
        <w:pStyle w:val="NormalWeb"/>
        <w:spacing w:before="0" w:beforeAutospacing="0" w:after="0" w:afterAutospacing="0"/>
        <w:ind w:firstLine="284"/>
        <w:jc w:val="both"/>
        <w:rPr>
          <w:rFonts w:ascii="Century Gothic" w:hAnsi="Century Gothic"/>
          <w:color w:val="000000"/>
          <w:sz w:val="18"/>
          <w:szCs w:val="18"/>
        </w:rPr>
      </w:pPr>
      <w:r w:rsidRPr="008272AC">
        <w:rPr>
          <w:rFonts w:ascii="Century Gothic" w:hAnsi="Century Gothic"/>
          <w:color w:val="000000" w:themeColor="text1"/>
          <w:sz w:val="18"/>
          <w:szCs w:val="18"/>
        </w:rPr>
        <w:t>To identify the need for differencing in order to achieve mean stationarity, an analysis of the Autocorrelation Function (ACF) and Partial Autocorrelation Function (PACF) plots was conducted prior to the differencing process, which appeared to be non-stationary in terms of the mean.</w:t>
      </w:r>
    </w:p>
    <w:p w14:paraId="215A136C" w14:textId="77777777" w:rsidR="00C97CE6" w:rsidRPr="008272AC" w:rsidRDefault="00C97CE6" w:rsidP="006E2E32">
      <w:pPr>
        <w:pStyle w:val="ListParagraph"/>
        <w:rPr>
          <w:rFonts w:ascii="Century Gothic" w:hAnsi="Century Gothic"/>
          <w:color w:val="000000"/>
          <w:sz w:val="18"/>
          <w:szCs w:val="18"/>
        </w:rPr>
      </w:pPr>
    </w:p>
    <w:p w14:paraId="26BCBE3A" w14:textId="17172908" w:rsidR="00BB3BD8" w:rsidRDefault="00C97CE6" w:rsidP="006E2E32">
      <w:pPr>
        <w:keepNext/>
        <w:jc w:val="center"/>
      </w:pPr>
      <w:r w:rsidRPr="008272AC">
        <w:rPr>
          <w:rFonts w:ascii="Century Gothic" w:hAnsi="Century Gothic"/>
          <w:noProof/>
          <w:color w:val="000000"/>
          <w:sz w:val="18"/>
          <w:szCs w:val="18"/>
        </w:rPr>
        <w:drawing>
          <wp:inline distT="0" distB="0" distL="0" distR="0" wp14:anchorId="37E72BA4" wp14:editId="3A81FEEE">
            <wp:extent cx="2502842" cy="1767632"/>
            <wp:effectExtent l="0" t="0" r="0" b="0"/>
            <wp:docPr id="510088856" name="Picture 3"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88856" name="Picture 3" descr="A graph with a line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0818" cy="1829765"/>
                    </a:xfrm>
                    <a:prstGeom prst="rect">
                      <a:avLst/>
                    </a:prstGeom>
                  </pic:spPr>
                </pic:pic>
              </a:graphicData>
            </a:graphic>
          </wp:inline>
        </w:drawing>
      </w:r>
    </w:p>
    <w:p w14:paraId="5DBC83B9" w14:textId="77777777" w:rsidR="0080033F" w:rsidRPr="008272AC" w:rsidRDefault="0080033F" w:rsidP="006E2E32">
      <w:pPr>
        <w:ind w:left="720"/>
        <w:rPr>
          <w:rFonts w:ascii="Century Gothic" w:hAnsi="Century Gothic"/>
          <w:color w:val="000000"/>
          <w:sz w:val="18"/>
          <w:szCs w:val="18"/>
        </w:rPr>
      </w:pPr>
    </w:p>
    <w:p w14:paraId="1D4F9B94" w14:textId="77777777" w:rsidR="009355F0" w:rsidRDefault="0080033F" w:rsidP="006E2E32">
      <w:pPr>
        <w:keepNext/>
        <w:jc w:val="center"/>
      </w:pPr>
      <w:r w:rsidRPr="008272AC">
        <w:rPr>
          <w:rFonts w:ascii="Century Gothic" w:hAnsi="Century Gothic"/>
          <w:noProof/>
          <w:color w:val="000000"/>
          <w:sz w:val="18"/>
          <w:szCs w:val="18"/>
        </w:rPr>
        <w:drawing>
          <wp:inline distT="0" distB="0" distL="0" distR="0" wp14:anchorId="05A4CE81" wp14:editId="3B785C40">
            <wp:extent cx="2441314" cy="1700340"/>
            <wp:effectExtent l="0" t="0" r="0" b="1905"/>
            <wp:docPr id="1515782189" name="Picture 6"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2189" name="Picture 6" descr="A graph with a line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64890" cy="1716760"/>
                    </a:xfrm>
                    <a:prstGeom prst="rect">
                      <a:avLst/>
                    </a:prstGeom>
                  </pic:spPr>
                </pic:pic>
              </a:graphicData>
            </a:graphic>
          </wp:inline>
        </w:drawing>
      </w:r>
    </w:p>
    <w:p w14:paraId="72A80A6A" w14:textId="5A005202" w:rsidR="009355F0" w:rsidRPr="0038619C" w:rsidRDefault="009355F0" w:rsidP="006E2E32">
      <w:pPr>
        <w:pStyle w:val="Caption"/>
        <w:spacing w:after="0"/>
        <w:jc w:val="center"/>
        <w:rPr>
          <w:rFonts w:ascii="Century Gothic" w:hAnsi="Century Gothic"/>
          <w:b/>
          <w:bCs/>
          <w:i w:val="0"/>
          <w:iCs w:val="0"/>
          <w:color w:val="000000"/>
        </w:rPr>
      </w:pPr>
      <w:r w:rsidRPr="0038619C">
        <w:rPr>
          <w:rFonts w:ascii="Century Gothic" w:hAnsi="Century Gothic"/>
          <w:b/>
          <w:bCs/>
          <w:i w:val="0"/>
          <w:iCs w:val="0"/>
        </w:rPr>
        <w:t xml:space="preserve">Figure </w:t>
      </w:r>
      <w:r w:rsidR="003348B3">
        <w:rPr>
          <w:rFonts w:ascii="Century Gothic" w:hAnsi="Century Gothic"/>
          <w:b/>
          <w:bCs/>
          <w:i w:val="0"/>
          <w:iCs w:val="0"/>
        </w:rPr>
        <w:t>7</w:t>
      </w:r>
      <w:r w:rsidRPr="0038619C">
        <w:rPr>
          <w:rFonts w:ascii="Century Gothic" w:hAnsi="Century Gothic"/>
          <w:b/>
          <w:bCs/>
          <w:i w:val="0"/>
          <w:iCs w:val="0"/>
        </w:rPr>
        <w:t xml:space="preserve">. </w:t>
      </w:r>
      <w:r w:rsidRPr="0038619C">
        <w:rPr>
          <w:rStyle w:val="Strong"/>
          <w:rFonts w:ascii="Century Gothic" w:hAnsi="Century Gothic"/>
          <w:b w:val="0"/>
          <w:bCs w:val="0"/>
          <w:i w:val="0"/>
          <w:iCs w:val="0"/>
          <w:color w:val="000000"/>
        </w:rPr>
        <w:t>ACF and PACF Plots before differencing</w:t>
      </w:r>
    </w:p>
    <w:p w14:paraId="165BDB0E" w14:textId="1B268747" w:rsidR="009355F0" w:rsidRPr="009355F0" w:rsidRDefault="009355F0" w:rsidP="006E2E32">
      <w:pPr>
        <w:ind w:firstLine="284"/>
        <w:rPr>
          <w:rFonts w:ascii="Century Gothic" w:hAnsi="Century Gothic"/>
          <w:color w:val="000000"/>
          <w:sz w:val="18"/>
          <w:szCs w:val="18"/>
          <w:lang w:val="en-ID"/>
        </w:rPr>
      </w:pPr>
      <w:r w:rsidRPr="00C6723F">
        <w:rPr>
          <w:rFonts w:ascii="Century Gothic" w:hAnsi="Century Gothic"/>
          <w:color w:val="000000"/>
          <w:sz w:val="18"/>
          <w:szCs w:val="18"/>
          <w:lang w:val="en-ID"/>
        </w:rPr>
        <w:t>The following are the ACF and PACF plots for the first-order differencing </w:t>
      </w:r>
    </w:p>
    <w:p w14:paraId="6A03BBDF" w14:textId="307BED69" w:rsidR="00BB3BD8" w:rsidRDefault="00FF0BF2" w:rsidP="006E2E32">
      <w:pPr>
        <w:keepNext/>
        <w:jc w:val="center"/>
      </w:pPr>
      <w:r w:rsidRPr="008272AC">
        <w:rPr>
          <w:rFonts w:ascii="Century Gothic" w:hAnsi="Century Gothic"/>
          <w:noProof/>
          <w:color w:val="000000"/>
          <w:sz w:val="18"/>
          <w:szCs w:val="18"/>
        </w:rPr>
        <w:drawing>
          <wp:inline distT="0" distB="0" distL="0" distR="0" wp14:anchorId="4F843A72" wp14:editId="1EC30A8C">
            <wp:extent cx="2463348" cy="1683417"/>
            <wp:effectExtent l="0" t="0" r="635" b="5715"/>
            <wp:docPr id="331063381" name="Picture 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63381" name="Picture 2" descr="A graph with a line and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5363" cy="1732631"/>
                    </a:xfrm>
                    <a:prstGeom prst="rect">
                      <a:avLst/>
                    </a:prstGeom>
                  </pic:spPr>
                </pic:pic>
              </a:graphicData>
            </a:graphic>
          </wp:inline>
        </w:drawing>
      </w:r>
      <w:r w:rsidR="0080033F" w:rsidRPr="008272AC">
        <w:rPr>
          <w:rFonts w:ascii="Century Gothic" w:hAnsi="Century Gothic"/>
          <w:noProof/>
          <w:color w:val="000000"/>
          <w:sz w:val="18"/>
          <w:szCs w:val="18"/>
        </w:rPr>
        <w:drawing>
          <wp:inline distT="0" distB="0" distL="0" distR="0" wp14:anchorId="02856B80" wp14:editId="729F7906">
            <wp:extent cx="2614728" cy="1871165"/>
            <wp:effectExtent l="0" t="0" r="1905" b="0"/>
            <wp:docPr id="2130258721" name="Picture 7"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8721" name="Picture 7" descr="A graph with numbers an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52397" cy="1898122"/>
                    </a:xfrm>
                    <a:prstGeom prst="rect">
                      <a:avLst/>
                    </a:prstGeom>
                  </pic:spPr>
                </pic:pic>
              </a:graphicData>
            </a:graphic>
          </wp:inline>
        </w:drawing>
      </w:r>
    </w:p>
    <w:p w14:paraId="4DED50A6" w14:textId="799C6238" w:rsidR="00BB3BD8" w:rsidRPr="0038619C" w:rsidRDefault="00BB3BD8" w:rsidP="006E2E32">
      <w:pPr>
        <w:pStyle w:val="Caption"/>
        <w:spacing w:after="0"/>
        <w:jc w:val="center"/>
        <w:rPr>
          <w:b/>
          <w:bCs/>
          <w:i w:val="0"/>
          <w:iCs w:val="0"/>
        </w:rPr>
      </w:pPr>
      <w:r w:rsidRPr="0038619C">
        <w:rPr>
          <w:b/>
          <w:bCs/>
          <w:i w:val="0"/>
          <w:iCs w:val="0"/>
        </w:rPr>
        <w:t xml:space="preserve">Figure </w:t>
      </w:r>
      <w:r w:rsidR="003348B3">
        <w:rPr>
          <w:b/>
          <w:bCs/>
          <w:i w:val="0"/>
          <w:iCs w:val="0"/>
        </w:rPr>
        <w:t>8</w:t>
      </w:r>
      <w:r w:rsidRPr="0038619C">
        <w:rPr>
          <w:b/>
          <w:bCs/>
          <w:i w:val="0"/>
          <w:iCs w:val="0"/>
        </w:rPr>
        <w:t>.</w:t>
      </w:r>
      <w:r w:rsidR="0038619C" w:rsidRPr="0038619C">
        <w:rPr>
          <w:b/>
          <w:bCs/>
          <w:i w:val="0"/>
          <w:iCs w:val="0"/>
        </w:rPr>
        <w:t xml:space="preserve"> </w:t>
      </w:r>
      <w:r w:rsidR="0038619C" w:rsidRPr="0038619C">
        <w:rPr>
          <w:i w:val="0"/>
          <w:iCs w:val="0"/>
        </w:rPr>
        <w:t>ACF &amp; PACF plot after first order differencing</w:t>
      </w:r>
    </w:p>
    <w:p w14:paraId="1486E2A9" w14:textId="77777777" w:rsidR="00D96FC3" w:rsidRDefault="00D96FC3" w:rsidP="006E2E32">
      <w:pPr>
        <w:pStyle w:val="Caption"/>
        <w:spacing w:after="0"/>
        <w:ind w:firstLine="284"/>
        <w:rPr>
          <w:rFonts w:ascii="Century Gothic" w:hAnsi="Century Gothic"/>
          <w:i w:val="0"/>
          <w:iCs w:val="0"/>
          <w:color w:val="000000"/>
          <w:lang w:val="en-ID"/>
        </w:rPr>
      </w:pPr>
    </w:p>
    <w:p w14:paraId="281DAA87" w14:textId="49D892DC" w:rsidR="00BB3C18" w:rsidRPr="00DE0F54" w:rsidRDefault="00C6723F" w:rsidP="006E2E32">
      <w:pPr>
        <w:pStyle w:val="Caption"/>
        <w:spacing w:after="0"/>
        <w:ind w:firstLine="284"/>
        <w:rPr>
          <w:i w:val="0"/>
          <w:iCs w:val="0"/>
        </w:rPr>
      </w:pPr>
      <w:r w:rsidRPr="00DE0F54">
        <w:rPr>
          <w:rFonts w:ascii="Century Gothic" w:hAnsi="Century Gothic"/>
          <w:i w:val="0"/>
          <w:iCs w:val="0"/>
          <w:color w:val="000000"/>
          <w:lang w:val="en-ID"/>
        </w:rPr>
        <w:t>Based on the ACF plot, it can be seen that the pattern of gradual decline has diminished and most autocorrelation values fall within the confidence limits. PACF plot still shows spikes at certain lags that do not systematically fade away, indicating that the data’s dependency structure is not yet fully simple. This condition suggests that first</w:t>
      </w:r>
      <w:r w:rsidR="00DE0F54" w:rsidRPr="00DE0F54">
        <w:rPr>
          <w:rFonts w:ascii="Century Gothic" w:hAnsi="Century Gothic"/>
          <w:i w:val="0"/>
          <w:iCs w:val="0"/>
          <w:color w:val="000000"/>
          <w:lang w:val="en-ID"/>
        </w:rPr>
        <w:t xml:space="preserve"> </w:t>
      </w:r>
      <w:r w:rsidRPr="00DE0F54">
        <w:rPr>
          <w:rFonts w:ascii="Century Gothic" w:hAnsi="Century Gothic"/>
          <w:i w:val="0"/>
          <w:iCs w:val="0"/>
          <w:color w:val="000000"/>
          <w:lang w:val="en-ID"/>
        </w:rPr>
        <w:t>order differencing has not yet fully produced an ideal pattern for model identification, particularly given the indication of a subset model in the autoregressive component. Therefore, additional differencing is considered to obtain clearer ACF and PACF patterns and facilitate the determination of the ARIMA.</w:t>
      </w:r>
    </w:p>
    <w:p w14:paraId="7D416679" w14:textId="75AF1257" w:rsidR="000A47AE" w:rsidRPr="001C12F1" w:rsidRDefault="00736470" w:rsidP="006E2E32">
      <w:pPr>
        <w:ind w:firstLine="284"/>
        <w:rPr>
          <w:rFonts w:ascii="Century Gothic" w:hAnsi="Century Gothic"/>
          <w:color w:val="000000"/>
          <w:sz w:val="18"/>
          <w:szCs w:val="18"/>
          <w:lang w:val="en-ID"/>
        </w:rPr>
      </w:pPr>
      <w:r w:rsidRPr="00736470">
        <w:rPr>
          <w:rFonts w:ascii="Century Gothic" w:hAnsi="Century Gothic"/>
          <w:color w:val="000000"/>
          <w:sz w:val="18"/>
          <w:szCs w:val="18"/>
          <w:lang w:val="en-ID"/>
        </w:rPr>
        <w:t>The following are the ACF and PACF plots for the second-order differencing</w:t>
      </w:r>
      <w:r w:rsidR="00DE0F54">
        <w:rPr>
          <w:rFonts w:ascii="Century Gothic" w:hAnsi="Century Gothic"/>
          <w:color w:val="000000"/>
          <w:sz w:val="18"/>
          <w:szCs w:val="18"/>
          <w:lang w:val="en-ID"/>
        </w:rPr>
        <w:t>.</w:t>
      </w:r>
    </w:p>
    <w:p w14:paraId="0DAA1AB3" w14:textId="77777777" w:rsidR="00A87587" w:rsidRDefault="00A87587" w:rsidP="006E2E32">
      <w:pPr>
        <w:keepNext/>
        <w:jc w:val="center"/>
        <w:sectPr w:rsidR="00A87587" w:rsidSect="0073658A">
          <w:type w:val="continuous"/>
          <w:pgSz w:w="12240" w:h="15840" w:code="1"/>
          <w:pgMar w:top="720" w:right="1094" w:bottom="950" w:left="1094" w:header="720" w:footer="720" w:gutter="0"/>
          <w:cols w:num="2" w:space="709"/>
        </w:sectPr>
      </w:pPr>
    </w:p>
    <w:p w14:paraId="4A2BD205" w14:textId="77777777" w:rsidR="00BB3BD8" w:rsidRDefault="000A47AE" w:rsidP="006E2E32">
      <w:pPr>
        <w:keepNext/>
        <w:jc w:val="center"/>
      </w:pPr>
      <w:r w:rsidRPr="008272AC">
        <w:rPr>
          <w:rFonts w:ascii="Century Gothic" w:hAnsi="Century Gothic"/>
          <w:noProof/>
          <w:color w:val="000000"/>
          <w:sz w:val="18"/>
          <w:szCs w:val="18"/>
        </w:rPr>
        <w:lastRenderedPageBreak/>
        <w:drawing>
          <wp:inline distT="0" distB="0" distL="0" distR="0" wp14:anchorId="4CC82114" wp14:editId="383D440C">
            <wp:extent cx="2577465" cy="1791257"/>
            <wp:effectExtent l="0" t="0" r="635" b="0"/>
            <wp:docPr id="1983186391" name="Picture 8"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6391" name="Picture 8" descr="A graph with a line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77465" cy="1791257"/>
                    </a:xfrm>
                    <a:prstGeom prst="rect">
                      <a:avLst/>
                    </a:prstGeom>
                  </pic:spPr>
                </pic:pic>
              </a:graphicData>
            </a:graphic>
          </wp:inline>
        </w:drawing>
      </w:r>
      <w:r w:rsidRPr="008272AC">
        <w:rPr>
          <w:rFonts w:ascii="Century Gothic" w:hAnsi="Century Gothic"/>
          <w:noProof/>
          <w:color w:val="000000"/>
          <w:sz w:val="18"/>
          <w:szCs w:val="18"/>
        </w:rPr>
        <w:drawing>
          <wp:inline distT="0" distB="0" distL="0" distR="0" wp14:anchorId="7295FAD5" wp14:editId="5D253684">
            <wp:extent cx="2623265" cy="1855081"/>
            <wp:effectExtent l="0" t="0" r="5715" b="0"/>
            <wp:docPr id="150470704" name="Picture 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704" name="Picture 9" descr="A graph with numbers and lin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3265" cy="1855081"/>
                    </a:xfrm>
                    <a:prstGeom prst="rect">
                      <a:avLst/>
                    </a:prstGeom>
                  </pic:spPr>
                </pic:pic>
              </a:graphicData>
            </a:graphic>
          </wp:inline>
        </w:drawing>
      </w:r>
    </w:p>
    <w:p w14:paraId="703C4B1C" w14:textId="38A5DC8F" w:rsidR="00736470" w:rsidRPr="0038619C" w:rsidRDefault="00BB3BD8" w:rsidP="006E2E32">
      <w:pPr>
        <w:pStyle w:val="Caption"/>
        <w:spacing w:after="0"/>
        <w:jc w:val="center"/>
        <w:rPr>
          <w:rFonts w:ascii="Century Gothic" w:hAnsi="Century Gothic"/>
          <w:b/>
          <w:bCs/>
          <w:i w:val="0"/>
          <w:iCs w:val="0"/>
          <w:color w:val="000000"/>
        </w:rPr>
      </w:pPr>
      <w:r w:rsidRPr="0038619C">
        <w:rPr>
          <w:rFonts w:ascii="Century Gothic" w:hAnsi="Century Gothic"/>
          <w:b/>
          <w:bCs/>
          <w:i w:val="0"/>
          <w:iCs w:val="0"/>
        </w:rPr>
        <w:t xml:space="preserve">Figure </w:t>
      </w:r>
      <w:r w:rsidR="003348B3">
        <w:rPr>
          <w:rFonts w:ascii="Century Gothic" w:hAnsi="Century Gothic"/>
          <w:b/>
          <w:bCs/>
          <w:i w:val="0"/>
          <w:iCs w:val="0"/>
        </w:rPr>
        <w:t>9</w:t>
      </w:r>
      <w:r w:rsidRPr="0038619C">
        <w:rPr>
          <w:rFonts w:ascii="Century Gothic" w:hAnsi="Century Gothic"/>
          <w:b/>
          <w:bCs/>
          <w:i w:val="0"/>
          <w:iCs w:val="0"/>
        </w:rPr>
        <w:t>.</w:t>
      </w:r>
      <w:r w:rsidR="0038619C">
        <w:rPr>
          <w:rFonts w:ascii="Century Gothic" w:hAnsi="Century Gothic"/>
          <w:b/>
          <w:bCs/>
          <w:i w:val="0"/>
          <w:iCs w:val="0"/>
        </w:rPr>
        <w:t xml:space="preserve"> </w:t>
      </w:r>
      <w:r w:rsidR="0038619C" w:rsidRPr="0038619C">
        <w:rPr>
          <w:rFonts w:ascii="Century Gothic" w:hAnsi="Century Gothic"/>
          <w:i w:val="0"/>
          <w:iCs w:val="0"/>
        </w:rPr>
        <w:t>ACF &amp; PACF plot after second order differencing</w:t>
      </w:r>
    </w:p>
    <w:p w14:paraId="541A6D7A" w14:textId="259B9392" w:rsidR="00736470" w:rsidRDefault="006872A4" w:rsidP="006E2E32">
      <w:pPr>
        <w:pStyle w:val="NormalWeb"/>
        <w:spacing w:before="0" w:beforeAutospacing="0" w:after="0" w:afterAutospacing="0"/>
        <w:ind w:firstLine="284"/>
        <w:jc w:val="both"/>
        <w:rPr>
          <w:rFonts w:ascii="Century Gothic" w:hAnsi="Century Gothic"/>
          <w:color w:val="000000"/>
          <w:sz w:val="18"/>
          <w:szCs w:val="18"/>
        </w:rPr>
      </w:pPr>
      <w:r w:rsidRPr="006872A4">
        <w:rPr>
          <w:rFonts w:ascii="Century Gothic" w:hAnsi="Century Gothic"/>
          <w:color w:val="000000"/>
          <w:sz w:val="18"/>
          <w:szCs w:val="18"/>
        </w:rPr>
        <w:t>The ACF plot shows that the autocorrelation values generally fall within the confidence limits and do not exhibit any specific systematic patterns. This pattern indicates that the trend component and long-term dependence have been significantly reduced compared to a single differencing. The PACF plot also shows that the spikes that appear are relatively random and do not form specific patterns at certain lags. This suggests that the ARIMA model order can be identified without the need to consider the form of the subsets.</w:t>
      </w:r>
    </w:p>
    <w:p w14:paraId="31D3E21E" w14:textId="77777777" w:rsidR="00BA4AE5" w:rsidRPr="0038619C" w:rsidRDefault="00BA4AE5" w:rsidP="006E2E32">
      <w:pPr>
        <w:pStyle w:val="NormalWeb"/>
        <w:spacing w:before="0" w:beforeAutospacing="0" w:after="0" w:afterAutospacing="0"/>
        <w:ind w:firstLine="284"/>
        <w:jc w:val="both"/>
        <w:rPr>
          <w:rFonts w:ascii="Century Gothic" w:hAnsi="Century Gothic"/>
          <w:color w:val="000000"/>
          <w:sz w:val="18"/>
          <w:szCs w:val="18"/>
        </w:rPr>
      </w:pPr>
    </w:p>
    <w:p w14:paraId="796F6D3F" w14:textId="14E2A76F" w:rsidR="00E12995" w:rsidRDefault="00E12995" w:rsidP="006E2E32">
      <w:pPr>
        <w:pStyle w:val="NormalWeb"/>
        <w:spacing w:before="0" w:beforeAutospacing="0" w:after="0" w:afterAutospacing="0"/>
        <w:jc w:val="both"/>
        <w:rPr>
          <w:rFonts w:ascii="Century Gothic" w:hAnsi="Century Gothic"/>
          <w:b/>
          <w:bCs/>
          <w:color w:val="943634"/>
          <w:sz w:val="18"/>
          <w:szCs w:val="18"/>
        </w:rPr>
      </w:pPr>
      <w:r w:rsidRPr="00E00D7C">
        <w:rPr>
          <w:rFonts w:ascii="Century Gothic" w:hAnsi="Century Gothic"/>
          <w:b/>
          <w:bCs/>
          <w:color w:val="943634"/>
          <w:sz w:val="18"/>
          <w:szCs w:val="18"/>
        </w:rPr>
        <w:t>3.2.</w:t>
      </w:r>
      <w:r w:rsidR="00AF66E2" w:rsidRPr="00E00D7C">
        <w:rPr>
          <w:rFonts w:ascii="Century Gothic" w:hAnsi="Century Gothic"/>
          <w:b/>
          <w:bCs/>
          <w:color w:val="943634"/>
          <w:sz w:val="18"/>
          <w:szCs w:val="18"/>
        </w:rPr>
        <w:t>3</w:t>
      </w:r>
      <w:r w:rsidRPr="00E00D7C">
        <w:rPr>
          <w:rFonts w:ascii="Century Gothic" w:hAnsi="Century Gothic"/>
          <w:b/>
          <w:bCs/>
          <w:color w:val="943634"/>
          <w:sz w:val="18"/>
          <w:szCs w:val="18"/>
        </w:rPr>
        <w:t xml:space="preserve"> </w:t>
      </w:r>
      <w:proofErr w:type="spellStart"/>
      <w:r w:rsidRPr="00E00D7C">
        <w:rPr>
          <w:rFonts w:ascii="Century Gothic" w:hAnsi="Century Gothic"/>
          <w:b/>
          <w:bCs/>
          <w:color w:val="943634"/>
          <w:sz w:val="18"/>
          <w:szCs w:val="18"/>
        </w:rPr>
        <w:t>Modeling</w:t>
      </w:r>
      <w:proofErr w:type="spellEnd"/>
      <w:r w:rsidRPr="00E00D7C">
        <w:rPr>
          <w:rFonts w:ascii="Century Gothic" w:hAnsi="Century Gothic"/>
          <w:b/>
          <w:bCs/>
          <w:color w:val="943634"/>
          <w:sz w:val="18"/>
          <w:szCs w:val="18"/>
        </w:rPr>
        <w:t xml:space="preserve"> of the ARIMA </w:t>
      </w:r>
    </w:p>
    <w:p w14:paraId="574A447C" w14:textId="77777777" w:rsidR="00E00D7C" w:rsidRPr="00E00D7C" w:rsidRDefault="00E00D7C" w:rsidP="006E2E32">
      <w:pPr>
        <w:pStyle w:val="NormalWeb"/>
        <w:spacing w:before="0" w:beforeAutospacing="0" w:after="0" w:afterAutospacing="0"/>
        <w:jc w:val="both"/>
        <w:rPr>
          <w:rFonts w:ascii="Century Gothic" w:hAnsi="Century Gothic"/>
          <w:b/>
          <w:bCs/>
          <w:color w:val="943634"/>
          <w:sz w:val="18"/>
          <w:szCs w:val="18"/>
        </w:rPr>
      </w:pPr>
    </w:p>
    <w:p w14:paraId="29CFBB73" w14:textId="3C9A6A02" w:rsidR="00DD7838" w:rsidRDefault="009848FE" w:rsidP="00F3357C">
      <w:pPr>
        <w:pStyle w:val="NormalWeb"/>
        <w:spacing w:before="0" w:beforeAutospacing="0" w:after="0" w:afterAutospacing="0"/>
        <w:jc w:val="both"/>
        <w:rPr>
          <w:rFonts w:ascii="Century Gothic" w:hAnsi="Century Gothic"/>
          <w:color w:val="000000"/>
          <w:sz w:val="18"/>
          <w:szCs w:val="18"/>
        </w:rPr>
      </w:pPr>
      <w:r w:rsidRPr="0038619C">
        <w:rPr>
          <w:rFonts w:ascii="Century Gothic" w:hAnsi="Century Gothic"/>
          <w:color w:val="000000"/>
          <w:sz w:val="18"/>
          <w:szCs w:val="18"/>
        </w:rPr>
        <w:t xml:space="preserve">The identification and </w:t>
      </w:r>
      <w:proofErr w:type="spellStart"/>
      <w:r w:rsidRPr="0038619C">
        <w:rPr>
          <w:rFonts w:ascii="Century Gothic" w:hAnsi="Century Gothic"/>
          <w:color w:val="000000"/>
          <w:sz w:val="18"/>
          <w:szCs w:val="18"/>
        </w:rPr>
        <w:t>modeling</w:t>
      </w:r>
      <w:proofErr w:type="spellEnd"/>
      <w:r w:rsidRPr="0038619C">
        <w:rPr>
          <w:rFonts w:ascii="Century Gothic" w:hAnsi="Century Gothic"/>
          <w:color w:val="000000"/>
          <w:sz w:val="18"/>
          <w:szCs w:val="18"/>
        </w:rPr>
        <w:t xml:space="preserve"> of the ARIMA model prior to the intervention, serving as the baseline model, are as follows.</w:t>
      </w:r>
    </w:p>
    <w:p w14:paraId="3DB1D96A" w14:textId="77777777" w:rsidR="00D96FC3" w:rsidRPr="0038619C" w:rsidRDefault="00D96FC3" w:rsidP="006E2E32">
      <w:pPr>
        <w:pStyle w:val="NormalWeb"/>
        <w:spacing w:before="0" w:beforeAutospacing="0" w:after="0" w:afterAutospacing="0"/>
        <w:ind w:firstLine="284"/>
        <w:jc w:val="both"/>
        <w:rPr>
          <w:rFonts w:ascii="Century Gothic" w:hAnsi="Century Gothic"/>
          <w:color w:val="000000"/>
          <w:sz w:val="18"/>
          <w:szCs w:val="18"/>
        </w:rPr>
      </w:pPr>
    </w:p>
    <w:p w14:paraId="28E39B3B" w14:textId="365594A7" w:rsidR="00401289" w:rsidRPr="00401289" w:rsidRDefault="00401289" w:rsidP="006E2E32">
      <w:pPr>
        <w:pStyle w:val="Caption"/>
        <w:keepNext/>
        <w:spacing w:after="0"/>
        <w:jc w:val="center"/>
        <w:rPr>
          <w:rFonts w:ascii="Century Gothic" w:hAnsi="Century Gothic"/>
          <w:i w:val="0"/>
          <w:iCs w:val="0"/>
        </w:rPr>
      </w:pPr>
      <w:r w:rsidRPr="00401289">
        <w:rPr>
          <w:rFonts w:ascii="Century Gothic" w:hAnsi="Century Gothic"/>
          <w:b/>
          <w:bCs/>
          <w:i w:val="0"/>
          <w:iCs w:val="0"/>
        </w:rPr>
        <w:t xml:space="preserve">Table </w:t>
      </w:r>
      <w:r w:rsidR="001E78CA">
        <w:rPr>
          <w:rFonts w:ascii="Century Gothic" w:hAnsi="Century Gothic"/>
          <w:b/>
          <w:bCs/>
          <w:i w:val="0"/>
          <w:iCs w:val="0"/>
        </w:rPr>
        <w:t>5.</w:t>
      </w:r>
      <w:r w:rsidRPr="00401289">
        <w:rPr>
          <w:rFonts w:ascii="Century Gothic" w:hAnsi="Century Gothic"/>
          <w:i w:val="0"/>
          <w:iCs w:val="0"/>
        </w:rPr>
        <w:t xml:space="preserve"> Significance </w:t>
      </w:r>
      <w:r>
        <w:rPr>
          <w:rFonts w:ascii="Century Gothic" w:hAnsi="Century Gothic"/>
          <w:i w:val="0"/>
          <w:iCs w:val="0"/>
        </w:rPr>
        <w:t>of parameters</w:t>
      </w:r>
    </w:p>
    <w:tbl>
      <w:tblPr>
        <w:tblW w:w="9923"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2"/>
        <w:gridCol w:w="1474"/>
        <w:gridCol w:w="1474"/>
        <w:gridCol w:w="1474"/>
        <w:gridCol w:w="1474"/>
        <w:gridCol w:w="1475"/>
      </w:tblGrid>
      <w:tr w:rsidR="00DD7838" w:rsidRPr="0038619C" w14:paraId="1B5E2128" w14:textId="77777777" w:rsidTr="007841D7">
        <w:trPr>
          <w:cantSplit/>
          <w:trHeight w:val="190"/>
        </w:trPr>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9AE0E08" w14:textId="77777777" w:rsidR="00DD7838" w:rsidRPr="0038619C" w:rsidRDefault="00DD7838" w:rsidP="006E2E32">
            <w:pPr>
              <w:rPr>
                <w:rFonts w:ascii="Century Gothic" w:hAnsi="Century Gothic"/>
                <w:sz w:val="18"/>
                <w:szCs w:val="18"/>
              </w:rPr>
            </w:pPr>
            <w:r w:rsidRPr="0038619C">
              <w:rPr>
                <w:rFonts w:ascii="Century Gothic" w:hAnsi="Century Gothic"/>
                <w:b/>
                <w:bCs/>
                <w:sz w:val="18"/>
                <w:szCs w:val="18"/>
              </w:rPr>
              <w:t>Model</w:t>
            </w:r>
          </w:p>
        </w:tc>
        <w:tc>
          <w:tcPr>
            <w:tcW w:w="1474" w:type="dxa"/>
            <w:tcBorders>
              <w:top w:val="single" w:sz="4" w:space="0" w:color="auto"/>
              <w:left w:val="nil"/>
              <w:bottom w:val="single" w:sz="4" w:space="0" w:color="auto"/>
              <w:right w:val="nil"/>
            </w:tcBorders>
            <w:vAlign w:val="center"/>
          </w:tcPr>
          <w:p w14:paraId="355D1C14" w14:textId="77777777" w:rsidR="00DD7838" w:rsidRPr="0038619C" w:rsidRDefault="00DD7838" w:rsidP="007841D7">
            <w:pPr>
              <w:rPr>
                <w:rFonts w:ascii="Century Gothic" w:hAnsi="Century Gothic"/>
                <w:b/>
                <w:bCs/>
                <w:sz w:val="18"/>
                <w:szCs w:val="18"/>
              </w:rPr>
            </w:pPr>
            <w:r w:rsidRPr="0038619C">
              <w:rPr>
                <w:rFonts w:ascii="Century Gothic" w:hAnsi="Century Gothic"/>
                <w:b/>
                <w:bCs/>
                <w:sz w:val="18"/>
                <w:szCs w:val="18"/>
              </w:rPr>
              <w:t>Significant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500AF691" w14:textId="77777777" w:rsidR="00DD7838" w:rsidRPr="0038619C" w:rsidRDefault="00DD7838" w:rsidP="007841D7">
            <w:pPr>
              <w:rPr>
                <w:rFonts w:ascii="Century Gothic" w:hAnsi="Century Gothic"/>
                <w:sz w:val="18"/>
                <w:szCs w:val="18"/>
              </w:rPr>
            </w:pPr>
            <w:r w:rsidRPr="0038619C">
              <w:rPr>
                <w:rFonts w:ascii="Century Gothic" w:hAnsi="Century Gothic"/>
                <w:b/>
                <w:bCs/>
                <w:sz w:val="18"/>
                <w:szCs w:val="18"/>
              </w:rPr>
              <w:t>AIC</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FA20792" w14:textId="77777777" w:rsidR="00DD7838" w:rsidRPr="0038619C" w:rsidRDefault="00DD7838" w:rsidP="007841D7">
            <w:pPr>
              <w:rPr>
                <w:rFonts w:ascii="Century Gothic" w:hAnsi="Century Gothic"/>
                <w:sz w:val="18"/>
                <w:szCs w:val="18"/>
              </w:rPr>
            </w:pPr>
            <w:r w:rsidRPr="0038619C">
              <w:rPr>
                <w:rFonts w:ascii="Century Gothic" w:hAnsi="Century Gothic"/>
                <w:b/>
                <w:bCs/>
                <w:sz w:val="18"/>
                <w:szCs w:val="18"/>
              </w:rPr>
              <w:t>Normality Test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16093F4A" w14:textId="77777777" w:rsidR="00DD7838" w:rsidRPr="0038619C" w:rsidRDefault="00DD7838" w:rsidP="007841D7">
            <w:pPr>
              <w:rPr>
                <w:rFonts w:ascii="Century Gothic" w:hAnsi="Century Gothic"/>
                <w:sz w:val="18"/>
                <w:szCs w:val="18"/>
              </w:rPr>
            </w:pPr>
            <w:r w:rsidRPr="0038619C">
              <w:rPr>
                <w:rFonts w:ascii="Century Gothic" w:hAnsi="Century Gothic"/>
                <w:b/>
                <w:bCs/>
                <w:sz w:val="18"/>
                <w:szCs w:val="18"/>
              </w:rPr>
              <w:t>Ljung-Box p</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BCDA5CA" w14:textId="77777777" w:rsidR="00DD7838" w:rsidRPr="0038619C" w:rsidRDefault="00DD7838" w:rsidP="007841D7">
            <w:pPr>
              <w:rPr>
                <w:rFonts w:ascii="Century Gothic" w:hAnsi="Century Gothic"/>
                <w:sz w:val="18"/>
                <w:szCs w:val="18"/>
              </w:rPr>
            </w:pPr>
            <w:r w:rsidRPr="0038619C">
              <w:rPr>
                <w:rFonts w:ascii="Century Gothic" w:hAnsi="Century Gothic"/>
                <w:b/>
                <w:bCs/>
                <w:sz w:val="18"/>
                <w:szCs w:val="18"/>
              </w:rPr>
              <w:t>Description</w:t>
            </w:r>
          </w:p>
        </w:tc>
      </w:tr>
      <w:tr w:rsidR="00DD7838" w:rsidRPr="0038619C" w14:paraId="1C1481DC" w14:textId="77777777" w:rsidTr="007841D7">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052ACF3B" w14:textId="77777777"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 xml:space="preserve">2,2,1) Probabilistic </w:t>
            </w:r>
          </w:p>
        </w:tc>
        <w:tc>
          <w:tcPr>
            <w:tcW w:w="1474" w:type="dxa"/>
            <w:tcBorders>
              <w:top w:val="single" w:sz="4" w:space="0" w:color="auto"/>
              <w:left w:val="nil"/>
              <w:bottom w:val="single" w:sz="4" w:space="0" w:color="auto"/>
              <w:right w:val="nil"/>
            </w:tcBorders>
            <w:vAlign w:val="center"/>
          </w:tcPr>
          <w:p w14:paraId="565CB9CA"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3E504C6E"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-489.73</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990EDD5" w14:textId="77777777" w:rsidR="00DD7838" w:rsidRPr="0038619C" w:rsidRDefault="00DD7838" w:rsidP="007841D7">
            <w:pPr>
              <w:jc w:val="center"/>
              <w:rPr>
                <w:rFonts w:ascii="Century Gothic" w:hAnsi="Century Gothic"/>
                <w:sz w:val="18"/>
                <w:szCs w:val="18"/>
              </w:rPr>
            </w:pPr>
            <w:r w:rsidRPr="0038619C">
              <w:rPr>
                <w:rFonts w:ascii="Century Gothic" w:hAnsi="Century Gothic"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3800BE00"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0F85D3A1"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r w:rsidR="00DD7838" w:rsidRPr="0038619C" w14:paraId="4C3A6771" w14:textId="77777777" w:rsidTr="007841D7">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334881C0" w14:textId="72D23AC1"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2,2,1)</w:t>
            </w:r>
            <w:r w:rsidR="007841D7">
              <w:rPr>
                <w:rFonts w:ascii="Century Gothic" w:hAnsi="Century Gothic"/>
                <w:sz w:val="18"/>
                <w:szCs w:val="18"/>
              </w:rPr>
              <w:t xml:space="preserve"> </w:t>
            </w:r>
            <w:r w:rsidRPr="0038619C">
              <w:rPr>
                <w:rFonts w:ascii="Century Gothic" w:hAnsi="Century Gothic"/>
                <w:sz w:val="18"/>
                <w:szCs w:val="18"/>
              </w:rPr>
              <w:t xml:space="preserve">Deterministic </w:t>
            </w:r>
          </w:p>
        </w:tc>
        <w:tc>
          <w:tcPr>
            <w:tcW w:w="1474" w:type="dxa"/>
            <w:tcBorders>
              <w:top w:val="single" w:sz="4" w:space="0" w:color="auto"/>
              <w:left w:val="nil"/>
              <w:bottom w:val="single" w:sz="4" w:space="0" w:color="auto"/>
              <w:right w:val="nil"/>
            </w:tcBorders>
            <w:vAlign w:val="center"/>
          </w:tcPr>
          <w:p w14:paraId="7FA66D13"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EB3794D"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-487.78</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36413B24"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F86A872"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6BF90B7B" w14:textId="77777777" w:rsidR="00DD7838" w:rsidRPr="0038619C" w:rsidRDefault="00DD7838" w:rsidP="007841D7">
            <w:pPr>
              <w:jc w:val="center"/>
              <w:rPr>
                <w:rFonts w:ascii="Century Gothic" w:hAnsi="Century Gothic"/>
                <w:sz w:val="18"/>
                <w:szCs w:val="18"/>
              </w:rPr>
            </w:pPr>
            <w:r w:rsidRPr="0038619C">
              <w:rPr>
                <w:rFonts w:ascii="Century Gothic" w:hAnsi="Century Gothic" w:cs="Segoe UI Symbol"/>
                <w:b/>
                <w:bCs/>
                <w:sz w:val="18"/>
                <w:szCs w:val="18"/>
              </w:rPr>
              <w:t>-</w:t>
            </w:r>
          </w:p>
        </w:tc>
      </w:tr>
      <w:tr w:rsidR="00DD7838" w:rsidRPr="0038619C" w14:paraId="36B7DEEE" w14:textId="77777777" w:rsidTr="007841D7">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328DB861" w14:textId="6A10009C"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2,2,0)</w:t>
            </w:r>
            <w:r w:rsidR="007841D7">
              <w:rPr>
                <w:rFonts w:ascii="Century Gothic" w:hAnsi="Century Gothic"/>
                <w:sz w:val="18"/>
                <w:szCs w:val="18"/>
              </w:rPr>
              <w:t xml:space="preserve"> </w:t>
            </w:r>
            <w:r w:rsidRPr="0038619C">
              <w:rPr>
                <w:rFonts w:ascii="Century Gothic" w:hAnsi="Century Gothic"/>
                <w:sz w:val="18"/>
                <w:szCs w:val="18"/>
              </w:rPr>
              <w:t>Probabilistic</w:t>
            </w:r>
          </w:p>
        </w:tc>
        <w:tc>
          <w:tcPr>
            <w:tcW w:w="1474" w:type="dxa"/>
            <w:tcBorders>
              <w:top w:val="single" w:sz="4" w:space="0" w:color="auto"/>
              <w:left w:val="nil"/>
              <w:bottom w:val="single" w:sz="4" w:space="0" w:color="auto"/>
              <w:right w:val="nil"/>
            </w:tcBorders>
            <w:vAlign w:val="center"/>
          </w:tcPr>
          <w:p w14:paraId="01E7317E"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1D62507E"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-452.36</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5FB6C193"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012D000B" w14:textId="77777777" w:rsidR="00DD7838" w:rsidRPr="0038619C" w:rsidRDefault="00DD7838" w:rsidP="007841D7">
            <w:pPr>
              <w:jc w:val="center"/>
              <w:rPr>
                <w:rFonts w:ascii="Century Gothic" w:hAnsi="Century Gothic"/>
                <w:sz w:val="18"/>
                <w:szCs w:val="18"/>
              </w:rPr>
            </w:pPr>
            <w:r w:rsidRPr="0038619C">
              <w:rPr>
                <w:rFonts w:ascii="Century Gothic" w:hAnsi="Century Gothic" w:cs="Segoe UI Symbol"/>
                <w:b/>
                <w:bCs/>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36675F18"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r w:rsidR="00DD7838" w:rsidRPr="0038619C" w14:paraId="5D6B1DA6" w14:textId="77777777" w:rsidTr="007841D7">
        <w:trPr>
          <w:trHeight w:val="227"/>
        </w:trPr>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07E6CE63" w14:textId="7243F96B"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2,2,0)</w:t>
            </w:r>
            <w:r w:rsidR="007841D7">
              <w:rPr>
                <w:rFonts w:ascii="Century Gothic" w:hAnsi="Century Gothic"/>
                <w:sz w:val="18"/>
                <w:szCs w:val="18"/>
              </w:rPr>
              <w:t xml:space="preserve"> </w:t>
            </w:r>
            <w:r w:rsidRPr="0038619C">
              <w:rPr>
                <w:rFonts w:ascii="Century Gothic" w:hAnsi="Century Gothic"/>
                <w:sz w:val="18"/>
                <w:szCs w:val="18"/>
              </w:rPr>
              <w:t>Deterministic</w:t>
            </w:r>
          </w:p>
        </w:tc>
        <w:tc>
          <w:tcPr>
            <w:tcW w:w="1474" w:type="dxa"/>
            <w:tcBorders>
              <w:top w:val="single" w:sz="4" w:space="0" w:color="auto"/>
              <w:left w:val="nil"/>
              <w:bottom w:val="single" w:sz="4" w:space="0" w:color="auto"/>
              <w:right w:val="nil"/>
            </w:tcBorders>
            <w:vAlign w:val="center"/>
          </w:tcPr>
          <w:p w14:paraId="3C886B6E"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588E2F08"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-451.06</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61AF181A"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153C8141" w14:textId="77777777" w:rsidR="00DD7838" w:rsidRPr="0038619C" w:rsidRDefault="00DD7838" w:rsidP="007841D7">
            <w:pPr>
              <w:jc w:val="center"/>
              <w:rPr>
                <w:rFonts w:ascii="Century Gothic" w:hAnsi="Century Gothic"/>
                <w:sz w:val="18"/>
                <w:szCs w:val="18"/>
              </w:rPr>
            </w:pPr>
            <w:r w:rsidRPr="0038619C">
              <w:rPr>
                <w:rFonts w:ascii="Century Gothic" w:hAnsi="Century Gothic" w:cs="Segoe UI Symbol"/>
                <w:b/>
                <w:bCs/>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D374BFE"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r w:rsidR="00DD7838" w:rsidRPr="0038619C" w14:paraId="45F62A7C" w14:textId="77777777" w:rsidTr="007841D7">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1DFF460" w14:textId="6EB003F9"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1,2,1)</w:t>
            </w:r>
            <w:r w:rsidR="007841D7">
              <w:rPr>
                <w:rFonts w:ascii="Century Gothic" w:hAnsi="Century Gothic"/>
                <w:sz w:val="18"/>
                <w:szCs w:val="18"/>
              </w:rPr>
              <w:t xml:space="preserve"> </w:t>
            </w:r>
            <w:r w:rsidRPr="0038619C">
              <w:rPr>
                <w:rFonts w:ascii="Century Gothic" w:hAnsi="Century Gothic"/>
                <w:sz w:val="18"/>
                <w:szCs w:val="18"/>
              </w:rPr>
              <w:t>Probabilistic</w:t>
            </w:r>
          </w:p>
        </w:tc>
        <w:tc>
          <w:tcPr>
            <w:tcW w:w="1474" w:type="dxa"/>
            <w:tcBorders>
              <w:top w:val="single" w:sz="4" w:space="0" w:color="auto"/>
              <w:left w:val="nil"/>
              <w:bottom w:val="single" w:sz="4" w:space="0" w:color="auto"/>
              <w:right w:val="nil"/>
            </w:tcBorders>
            <w:vAlign w:val="center"/>
          </w:tcPr>
          <w:p w14:paraId="27AEC225"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65AD2EA"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-423.01</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155A542B"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55BC485"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6C8F066B"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r w:rsidR="00DD7838" w:rsidRPr="0038619C" w14:paraId="6D0F4E42" w14:textId="77777777" w:rsidTr="007841D7">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2C93408" w14:textId="089A540B"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1,2,1)</w:t>
            </w:r>
            <w:r w:rsidR="007841D7">
              <w:rPr>
                <w:rFonts w:ascii="Century Gothic" w:hAnsi="Century Gothic"/>
                <w:sz w:val="18"/>
                <w:szCs w:val="18"/>
              </w:rPr>
              <w:t xml:space="preserve"> </w:t>
            </w:r>
            <w:r w:rsidRPr="0038619C">
              <w:rPr>
                <w:rFonts w:ascii="Century Gothic" w:hAnsi="Century Gothic"/>
                <w:sz w:val="18"/>
                <w:szCs w:val="18"/>
              </w:rPr>
              <w:t>Deterministic</w:t>
            </w:r>
          </w:p>
        </w:tc>
        <w:tc>
          <w:tcPr>
            <w:tcW w:w="1474" w:type="dxa"/>
            <w:tcBorders>
              <w:top w:val="single" w:sz="4" w:space="0" w:color="auto"/>
              <w:left w:val="nil"/>
              <w:bottom w:val="single" w:sz="4" w:space="0" w:color="auto"/>
              <w:right w:val="nil"/>
            </w:tcBorders>
            <w:vAlign w:val="center"/>
          </w:tcPr>
          <w:p w14:paraId="1BDDEECD"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C1EE46C"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-422.02</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382DD4AF"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5145020F"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5F6CD409"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r w:rsidR="00DD7838" w:rsidRPr="0038619C" w14:paraId="1A1546FF" w14:textId="77777777" w:rsidTr="007841D7">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7584E25" w14:textId="6E5C3562"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1,2,0)</w:t>
            </w:r>
            <w:r w:rsidR="007841D7">
              <w:rPr>
                <w:rFonts w:ascii="Century Gothic" w:hAnsi="Century Gothic"/>
                <w:sz w:val="18"/>
                <w:szCs w:val="18"/>
              </w:rPr>
              <w:t xml:space="preserve"> </w:t>
            </w:r>
            <w:r w:rsidRPr="0038619C">
              <w:rPr>
                <w:rFonts w:ascii="Century Gothic" w:hAnsi="Century Gothic"/>
                <w:sz w:val="18"/>
                <w:szCs w:val="18"/>
              </w:rPr>
              <w:t>Probabilistic</w:t>
            </w:r>
          </w:p>
        </w:tc>
        <w:tc>
          <w:tcPr>
            <w:tcW w:w="1474" w:type="dxa"/>
            <w:tcBorders>
              <w:top w:val="single" w:sz="4" w:space="0" w:color="auto"/>
              <w:left w:val="nil"/>
              <w:bottom w:val="single" w:sz="4" w:space="0" w:color="auto"/>
              <w:right w:val="nil"/>
            </w:tcBorders>
            <w:vAlign w:val="center"/>
          </w:tcPr>
          <w:p w14:paraId="11BADDC0"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8D9CF6A"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-436.17</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66F6E5FB"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8E1AB2C"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4707A6B"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r w:rsidR="00DD7838" w:rsidRPr="0038619C" w14:paraId="24A8560D" w14:textId="77777777" w:rsidTr="007841D7">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54F1AF6" w14:textId="5492A264"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1,2,0)</w:t>
            </w:r>
            <w:r w:rsidR="007841D7">
              <w:rPr>
                <w:rFonts w:ascii="Century Gothic" w:hAnsi="Century Gothic"/>
                <w:sz w:val="18"/>
                <w:szCs w:val="18"/>
              </w:rPr>
              <w:t xml:space="preserve"> </w:t>
            </w:r>
            <w:r w:rsidRPr="0038619C">
              <w:rPr>
                <w:rFonts w:ascii="Century Gothic" w:hAnsi="Century Gothic"/>
                <w:sz w:val="18"/>
                <w:szCs w:val="18"/>
              </w:rPr>
              <w:t>Deterministic</w:t>
            </w:r>
          </w:p>
        </w:tc>
        <w:tc>
          <w:tcPr>
            <w:tcW w:w="1474" w:type="dxa"/>
            <w:tcBorders>
              <w:top w:val="single" w:sz="4" w:space="0" w:color="auto"/>
              <w:left w:val="nil"/>
              <w:bottom w:val="single" w:sz="4" w:space="0" w:color="auto"/>
              <w:right w:val="nil"/>
            </w:tcBorders>
            <w:vAlign w:val="center"/>
          </w:tcPr>
          <w:p w14:paraId="76CA4E84"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A332799"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-434.60</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782E5FC"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63BDC05F"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0189F5D3"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r w:rsidR="00DD7838" w:rsidRPr="0038619C" w14:paraId="7D15A958" w14:textId="77777777" w:rsidTr="007841D7">
        <w:trPr>
          <w:trHeight w:val="22"/>
        </w:trPr>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5AB65C05" w14:textId="208EE6AE"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0,2,1)</w:t>
            </w:r>
            <w:r w:rsidR="007841D7">
              <w:rPr>
                <w:rFonts w:ascii="Century Gothic" w:hAnsi="Century Gothic"/>
                <w:sz w:val="18"/>
                <w:szCs w:val="18"/>
              </w:rPr>
              <w:t xml:space="preserve"> </w:t>
            </w:r>
            <w:r w:rsidRPr="0038619C">
              <w:rPr>
                <w:rFonts w:ascii="Century Gothic" w:hAnsi="Century Gothic"/>
                <w:sz w:val="18"/>
                <w:szCs w:val="18"/>
              </w:rPr>
              <w:t>Probabilistic</w:t>
            </w:r>
          </w:p>
        </w:tc>
        <w:tc>
          <w:tcPr>
            <w:tcW w:w="1474" w:type="dxa"/>
            <w:tcBorders>
              <w:top w:val="single" w:sz="4" w:space="0" w:color="auto"/>
              <w:left w:val="nil"/>
              <w:bottom w:val="single" w:sz="4" w:space="0" w:color="auto"/>
              <w:right w:val="nil"/>
            </w:tcBorders>
            <w:vAlign w:val="center"/>
          </w:tcPr>
          <w:p w14:paraId="20F51757"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58D312E"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-485.16</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4A4A3FA"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B3387CE"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02EDEFD0"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r>
      <w:tr w:rsidR="00DD7838" w:rsidRPr="0038619C" w14:paraId="08AA7587" w14:textId="77777777" w:rsidTr="007841D7">
        <w:trPr>
          <w:trHeight w:val="90"/>
        </w:trPr>
        <w:tc>
          <w:tcPr>
            <w:tcW w:w="2552" w:type="dxa"/>
            <w:tcBorders>
              <w:top w:val="single" w:sz="4" w:space="0" w:color="auto"/>
              <w:left w:val="nil"/>
              <w:bottom w:val="single" w:sz="4" w:space="0" w:color="auto"/>
              <w:right w:val="nil"/>
            </w:tcBorders>
            <w:tcMar>
              <w:top w:w="80" w:type="dxa"/>
              <w:left w:w="120" w:type="dxa"/>
              <w:bottom w:w="80" w:type="dxa"/>
              <w:right w:w="120" w:type="dxa"/>
            </w:tcMar>
            <w:vAlign w:val="center"/>
          </w:tcPr>
          <w:p w14:paraId="1FDCD457" w14:textId="63375A64" w:rsidR="00DD7838" w:rsidRPr="0038619C" w:rsidRDefault="00DD7838" w:rsidP="006E2E32">
            <w:pPr>
              <w:rPr>
                <w:rFonts w:ascii="Century Gothic" w:hAnsi="Century Gothic"/>
                <w:sz w:val="18"/>
                <w:szCs w:val="18"/>
              </w:rPr>
            </w:pPr>
            <w:proofErr w:type="gramStart"/>
            <w:r w:rsidRPr="0038619C">
              <w:rPr>
                <w:rFonts w:ascii="Century Gothic" w:hAnsi="Century Gothic"/>
                <w:sz w:val="18"/>
                <w:szCs w:val="18"/>
              </w:rPr>
              <w:t>ARIMA(</w:t>
            </w:r>
            <w:proofErr w:type="gramEnd"/>
            <w:r w:rsidRPr="0038619C">
              <w:rPr>
                <w:rFonts w:ascii="Century Gothic" w:hAnsi="Century Gothic"/>
                <w:sz w:val="18"/>
                <w:szCs w:val="18"/>
              </w:rPr>
              <w:t>0,2,1)</w:t>
            </w:r>
            <w:r w:rsidR="007841D7">
              <w:rPr>
                <w:rFonts w:ascii="Century Gothic" w:hAnsi="Century Gothic"/>
                <w:sz w:val="18"/>
                <w:szCs w:val="18"/>
              </w:rPr>
              <w:t xml:space="preserve"> </w:t>
            </w:r>
            <w:r w:rsidRPr="0038619C">
              <w:rPr>
                <w:rFonts w:ascii="Century Gothic" w:hAnsi="Century Gothic"/>
                <w:sz w:val="18"/>
                <w:szCs w:val="18"/>
              </w:rPr>
              <w:t>Deterministic</w:t>
            </w:r>
          </w:p>
        </w:tc>
        <w:tc>
          <w:tcPr>
            <w:tcW w:w="1474" w:type="dxa"/>
            <w:tcBorders>
              <w:top w:val="single" w:sz="4" w:space="0" w:color="auto"/>
              <w:left w:val="nil"/>
              <w:bottom w:val="single" w:sz="4" w:space="0" w:color="auto"/>
              <w:right w:val="nil"/>
            </w:tcBorders>
            <w:vAlign w:val="center"/>
          </w:tcPr>
          <w:p w14:paraId="75CAC6B3"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7F35AA99"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-483.17</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48DEAD3D"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4" w:type="dxa"/>
            <w:tcBorders>
              <w:top w:val="single" w:sz="4" w:space="0" w:color="auto"/>
              <w:left w:val="nil"/>
              <w:bottom w:val="single" w:sz="4" w:space="0" w:color="auto"/>
              <w:right w:val="nil"/>
            </w:tcBorders>
            <w:tcMar>
              <w:top w:w="80" w:type="dxa"/>
              <w:left w:w="120" w:type="dxa"/>
              <w:bottom w:w="80" w:type="dxa"/>
              <w:right w:w="120" w:type="dxa"/>
            </w:tcMar>
            <w:vAlign w:val="center"/>
          </w:tcPr>
          <w:p w14:paraId="21A8C82A" w14:textId="77777777" w:rsidR="00DD7838" w:rsidRPr="0038619C" w:rsidRDefault="00DD7838" w:rsidP="007841D7">
            <w:pPr>
              <w:jc w:val="center"/>
              <w:rPr>
                <w:rFonts w:ascii="Century Gothic" w:hAnsi="Century Gothic"/>
                <w:sz w:val="18"/>
                <w:szCs w:val="18"/>
              </w:rPr>
            </w:pPr>
            <w:r w:rsidRPr="0038619C">
              <w:rPr>
                <w:rFonts w:ascii="Segoe UI Symbol" w:hAnsi="Segoe UI Symbol" w:cs="Segoe UI Symbol"/>
                <w:b/>
                <w:bCs/>
                <w:sz w:val="18"/>
                <w:szCs w:val="18"/>
              </w:rPr>
              <w:t>✓</w:t>
            </w:r>
          </w:p>
        </w:tc>
        <w:tc>
          <w:tcPr>
            <w:tcW w:w="1475" w:type="dxa"/>
            <w:tcBorders>
              <w:top w:val="single" w:sz="4" w:space="0" w:color="auto"/>
              <w:left w:val="nil"/>
              <w:bottom w:val="single" w:sz="4" w:space="0" w:color="auto"/>
              <w:right w:val="nil"/>
            </w:tcBorders>
            <w:tcMar>
              <w:top w:w="80" w:type="dxa"/>
              <w:left w:w="120" w:type="dxa"/>
              <w:bottom w:w="80" w:type="dxa"/>
              <w:right w:w="120" w:type="dxa"/>
            </w:tcMar>
            <w:vAlign w:val="center"/>
          </w:tcPr>
          <w:p w14:paraId="6313C647" w14:textId="77777777" w:rsidR="00DD7838" w:rsidRPr="0038619C" w:rsidRDefault="00DD7838" w:rsidP="007841D7">
            <w:pPr>
              <w:jc w:val="center"/>
              <w:rPr>
                <w:rFonts w:ascii="Century Gothic" w:hAnsi="Century Gothic"/>
                <w:sz w:val="18"/>
                <w:szCs w:val="18"/>
              </w:rPr>
            </w:pPr>
            <w:r w:rsidRPr="0038619C">
              <w:rPr>
                <w:rFonts w:ascii="Century Gothic" w:hAnsi="Century Gothic"/>
                <w:sz w:val="18"/>
                <w:szCs w:val="18"/>
              </w:rPr>
              <w:t>-</w:t>
            </w:r>
          </w:p>
        </w:tc>
      </w:tr>
    </w:tbl>
    <w:p w14:paraId="51CF0055" w14:textId="77777777" w:rsidR="007841D7" w:rsidRDefault="007841D7" w:rsidP="006E2E32">
      <w:pPr>
        <w:pStyle w:val="NormalWeb"/>
        <w:spacing w:before="0" w:beforeAutospacing="0" w:after="0" w:afterAutospacing="0"/>
        <w:ind w:firstLine="284"/>
        <w:jc w:val="both"/>
        <w:rPr>
          <w:rFonts w:ascii="Century Gothic" w:hAnsi="Century Gothic"/>
          <w:color w:val="000000"/>
          <w:sz w:val="18"/>
          <w:szCs w:val="18"/>
        </w:rPr>
        <w:sectPr w:rsidR="007841D7" w:rsidSect="007841D7">
          <w:type w:val="continuous"/>
          <w:pgSz w:w="12240" w:h="15840" w:code="1"/>
          <w:pgMar w:top="720" w:right="1094" w:bottom="950" w:left="1094" w:header="720" w:footer="720" w:gutter="0"/>
          <w:cols w:space="709"/>
        </w:sectPr>
      </w:pPr>
    </w:p>
    <w:p w14:paraId="17173C4E" w14:textId="77777777" w:rsidR="00E00D7C" w:rsidRPr="0038619C" w:rsidRDefault="00E00D7C" w:rsidP="006E2E32">
      <w:pPr>
        <w:pStyle w:val="NormalWeb"/>
        <w:spacing w:before="0" w:beforeAutospacing="0" w:after="0" w:afterAutospacing="0"/>
        <w:ind w:firstLine="284"/>
        <w:jc w:val="both"/>
        <w:rPr>
          <w:rFonts w:ascii="Century Gothic" w:hAnsi="Century Gothic"/>
          <w:color w:val="000000"/>
          <w:sz w:val="18"/>
          <w:szCs w:val="18"/>
        </w:rPr>
      </w:pPr>
    </w:p>
    <w:p w14:paraId="3B7AC336" w14:textId="77777777" w:rsidR="007841D7" w:rsidRDefault="007841D7" w:rsidP="006E2E32">
      <w:pPr>
        <w:pStyle w:val="NormalWeb"/>
        <w:spacing w:before="0" w:beforeAutospacing="0" w:after="0" w:afterAutospacing="0"/>
        <w:jc w:val="both"/>
        <w:rPr>
          <w:rFonts w:ascii="Century Gothic" w:hAnsi="Century Gothic"/>
          <w:b/>
          <w:bCs/>
          <w:color w:val="943634"/>
          <w:sz w:val="18"/>
          <w:szCs w:val="18"/>
        </w:rPr>
      </w:pPr>
      <w:r w:rsidRPr="007841D7">
        <w:rPr>
          <w:rFonts w:ascii="Century Gothic" w:hAnsi="Century Gothic"/>
          <w:color w:val="000000"/>
          <w:sz w:val="18"/>
          <w:szCs w:val="18"/>
        </w:rPr>
        <w:t>Based on this identification, the appropriate model to use is the probabilistic ARIMA (0,2,1) model, which is subsequently applied to the post-intervention data</w:t>
      </w:r>
      <w:r w:rsidRPr="00E00D7C">
        <w:rPr>
          <w:rFonts w:ascii="Century Gothic" w:hAnsi="Century Gothic"/>
          <w:b/>
          <w:bCs/>
          <w:color w:val="943634"/>
          <w:sz w:val="18"/>
          <w:szCs w:val="18"/>
        </w:rPr>
        <w:t xml:space="preserve"> </w:t>
      </w:r>
    </w:p>
    <w:p w14:paraId="5C4ACB2C" w14:textId="77777777" w:rsidR="007841D7" w:rsidRDefault="007841D7" w:rsidP="006E2E32">
      <w:pPr>
        <w:pStyle w:val="NormalWeb"/>
        <w:spacing w:before="0" w:beforeAutospacing="0" w:after="0" w:afterAutospacing="0"/>
        <w:jc w:val="both"/>
        <w:rPr>
          <w:rFonts w:ascii="Century Gothic" w:hAnsi="Century Gothic"/>
          <w:b/>
          <w:bCs/>
          <w:color w:val="943634"/>
          <w:sz w:val="18"/>
          <w:szCs w:val="18"/>
        </w:rPr>
      </w:pPr>
    </w:p>
    <w:p w14:paraId="7F4F46FA" w14:textId="3C613279" w:rsidR="007841D7" w:rsidRDefault="00F364A2" w:rsidP="007841D7">
      <w:pPr>
        <w:pStyle w:val="NormalWeb"/>
        <w:spacing w:before="0" w:beforeAutospacing="0" w:after="0" w:afterAutospacing="0"/>
        <w:jc w:val="both"/>
        <w:rPr>
          <w:rFonts w:ascii="Century Gothic" w:hAnsi="Century Gothic"/>
          <w:b/>
          <w:bCs/>
          <w:color w:val="943634"/>
          <w:sz w:val="18"/>
          <w:szCs w:val="18"/>
        </w:rPr>
      </w:pPr>
      <w:r w:rsidRPr="00E00D7C">
        <w:rPr>
          <w:rFonts w:ascii="Century Gothic" w:hAnsi="Century Gothic"/>
          <w:b/>
          <w:bCs/>
          <w:color w:val="943634"/>
          <w:sz w:val="18"/>
          <w:szCs w:val="18"/>
        </w:rPr>
        <w:t>3.2.</w:t>
      </w:r>
      <w:r w:rsidR="00AF66E2" w:rsidRPr="00E00D7C">
        <w:rPr>
          <w:rFonts w:ascii="Century Gothic" w:hAnsi="Century Gothic"/>
          <w:b/>
          <w:bCs/>
          <w:color w:val="943634"/>
          <w:sz w:val="18"/>
          <w:szCs w:val="18"/>
        </w:rPr>
        <w:t>4</w:t>
      </w:r>
      <w:r w:rsidRPr="00E00D7C">
        <w:rPr>
          <w:rFonts w:ascii="Century Gothic" w:hAnsi="Century Gothic"/>
          <w:b/>
          <w:bCs/>
          <w:color w:val="943634"/>
          <w:sz w:val="18"/>
          <w:szCs w:val="18"/>
        </w:rPr>
        <w:t xml:space="preserve"> Cross Correlation Function </w:t>
      </w:r>
      <w:r w:rsidR="008D6475" w:rsidRPr="00E00D7C">
        <w:rPr>
          <w:rFonts w:ascii="Century Gothic" w:hAnsi="Century Gothic"/>
          <w:b/>
          <w:bCs/>
          <w:color w:val="943634"/>
          <w:sz w:val="18"/>
          <w:szCs w:val="18"/>
        </w:rPr>
        <w:t>i</w:t>
      </w:r>
      <w:r w:rsidRPr="00E00D7C">
        <w:rPr>
          <w:rFonts w:ascii="Century Gothic" w:hAnsi="Century Gothic"/>
          <w:b/>
          <w:bCs/>
          <w:color w:val="943634"/>
          <w:sz w:val="18"/>
          <w:szCs w:val="18"/>
        </w:rPr>
        <w:t>dentification</w:t>
      </w:r>
    </w:p>
    <w:p w14:paraId="4D2FE325" w14:textId="77777777" w:rsidR="00590CC2" w:rsidRPr="007841D7" w:rsidRDefault="00590CC2" w:rsidP="007841D7">
      <w:pPr>
        <w:pStyle w:val="NormalWeb"/>
        <w:spacing w:before="0" w:beforeAutospacing="0" w:after="0" w:afterAutospacing="0"/>
        <w:jc w:val="both"/>
        <w:rPr>
          <w:rFonts w:ascii="Century Gothic" w:hAnsi="Century Gothic"/>
          <w:b/>
          <w:bCs/>
          <w:color w:val="943634"/>
          <w:sz w:val="18"/>
          <w:szCs w:val="18"/>
        </w:rPr>
      </w:pPr>
    </w:p>
    <w:p w14:paraId="293901B8" w14:textId="2AD9C45F" w:rsidR="00F364A2" w:rsidRPr="0038619C" w:rsidRDefault="00F364A2" w:rsidP="00F3357C">
      <w:pPr>
        <w:rPr>
          <w:rFonts w:ascii="Century Gothic" w:hAnsi="Century Gothic"/>
          <w:color w:val="000000"/>
          <w:sz w:val="18"/>
          <w:szCs w:val="18"/>
          <w:lang w:val="en-ID"/>
        </w:rPr>
      </w:pPr>
      <w:r w:rsidRPr="0038619C">
        <w:rPr>
          <w:rFonts w:ascii="Century Gothic" w:hAnsi="Century Gothic"/>
          <w:color w:val="000000"/>
          <w:sz w:val="18"/>
          <w:szCs w:val="18"/>
          <w:lang w:val="en-ID"/>
        </w:rPr>
        <w:t>To identify the intervention response structure, a Cross-Correlation Function (CCF) analysis was conducted between the pre-whitening data (pre-intervention forecast) and the intervention series.</w:t>
      </w:r>
    </w:p>
    <w:p w14:paraId="31E9578D" w14:textId="77777777" w:rsidR="00BB3BD8" w:rsidRPr="0038619C" w:rsidRDefault="00AF50DB" w:rsidP="006E2E32">
      <w:pPr>
        <w:keepNext/>
        <w:jc w:val="center"/>
        <w:rPr>
          <w:rFonts w:ascii="Century Gothic" w:hAnsi="Century Gothic"/>
        </w:rPr>
      </w:pPr>
      <w:r w:rsidRPr="0038619C">
        <w:rPr>
          <w:rFonts w:ascii="Century Gothic" w:hAnsi="Century Gothic"/>
          <w:noProof/>
          <w:color w:val="000000"/>
          <w:sz w:val="18"/>
          <w:szCs w:val="18"/>
        </w:rPr>
        <w:drawing>
          <wp:inline distT="0" distB="0" distL="0" distR="0" wp14:anchorId="6254E4E8" wp14:editId="2400AB76">
            <wp:extent cx="2518922" cy="1564481"/>
            <wp:effectExtent l="0" t="0" r="0" b="0"/>
            <wp:docPr id="29735590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5905" name="Picture 1" descr="A graph with lines and numbers&#10;&#10;AI-generated content may be incorrect."/>
                    <pic:cNvPicPr/>
                  </pic:nvPicPr>
                  <pic:blipFill rotWithShape="1">
                    <a:blip r:embed="rId30"/>
                    <a:srcRect l="2024" t="8243" r="2458" b="2768"/>
                    <a:stretch>
                      <a:fillRect/>
                    </a:stretch>
                  </pic:blipFill>
                  <pic:spPr bwMode="auto">
                    <a:xfrm>
                      <a:off x="0" y="0"/>
                      <a:ext cx="2582496" cy="1603966"/>
                    </a:xfrm>
                    <a:prstGeom prst="rect">
                      <a:avLst/>
                    </a:prstGeom>
                    <a:ln>
                      <a:noFill/>
                    </a:ln>
                    <a:extLst>
                      <a:ext uri="{53640926-AAD7-44D8-BBD7-CCE9431645EC}">
                        <a14:shadowObscured xmlns:a14="http://schemas.microsoft.com/office/drawing/2010/main"/>
                      </a:ext>
                    </a:extLst>
                  </pic:spPr>
                </pic:pic>
              </a:graphicData>
            </a:graphic>
          </wp:inline>
        </w:drawing>
      </w:r>
    </w:p>
    <w:p w14:paraId="2F74EF8C" w14:textId="200DAFB4" w:rsidR="00AF50DB" w:rsidRPr="0038619C" w:rsidRDefault="00BB3BD8" w:rsidP="006E2E32">
      <w:pPr>
        <w:pStyle w:val="Caption"/>
        <w:spacing w:after="0"/>
        <w:jc w:val="center"/>
        <w:rPr>
          <w:rFonts w:ascii="Century Gothic" w:hAnsi="Century Gothic"/>
          <w:i w:val="0"/>
          <w:iCs w:val="0"/>
          <w:color w:val="000000"/>
          <w:lang w:val="en-ID"/>
        </w:rPr>
      </w:pPr>
      <w:r w:rsidRPr="0038619C">
        <w:rPr>
          <w:rFonts w:ascii="Century Gothic" w:hAnsi="Century Gothic"/>
          <w:b/>
          <w:bCs/>
          <w:i w:val="0"/>
          <w:iCs w:val="0"/>
        </w:rPr>
        <w:t>Figure 1</w:t>
      </w:r>
      <w:r w:rsidR="003348B3">
        <w:rPr>
          <w:rFonts w:ascii="Century Gothic" w:hAnsi="Century Gothic"/>
          <w:b/>
          <w:bCs/>
          <w:i w:val="0"/>
          <w:iCs w:val="0"/>
        </w:rPr>
        <w:t>0</w:t>
      </w:r>
      <w:r w:rsidRPr="0038619C">
        <w:rPr>
          <w:rFonts w:ascii="Century Gothic" w:hAnsi="Century Gothic"/>
          <w:b/>
          <w:bCs/>
          <w:i w:val="0"/>
          <w:iCs w:val="0"/>
        </w:rPr>
        <w:t>.</w:t>
      </w:r>
      <w:r w:rsidR="0038619C" w:rsidRPr="0038619C">
        <w:rPr>
          <w:rFonts w:ascii="Century Gothic" w:hAnsi="Century Gothic"/>
          <w:i w:val="0"/>
          <w:iCs w:val="0"/>
        </w:rPr>
        <w:t xml:space="preserve"> Cross </w:t>
      </w:r>
      <w:proofErr w:type="spellStart"/>
      <w:r w:rsidR="0038619C" w:rsidRPr="0038619C">
        <w:rPr>
          <w:rFonts w:ascii="Century Gothic" w:hAnsi="Century Gothic"/>
          <w:i w:val="0"/>
          <w:iCs w:val="0"/>
        </w:rPr>
        <w:t>Corelation</w:t>
      </w:r>
      <w:proofErr w:type="spellEnd"/>
      <w:r w:rsidR="0038619C" w:rsidRPr="0038619C">
        <w:rPr>
          <w:rFonts w:ascii="Century Gothic" w:hAnsi="Century Gothic"/>
          <w:i w:val="0"/>
          <w:iCs w:val="0"/>
        </w:rPr>
        <w:t xml:space="preserve"> plot for </w:t>
      </w:r>
      <w:proofErr w:type="spellStart"/>
      <w:r w:rsidR="0038619C" w:rsidRPr="0038619C">
        <w:rPr>
          <w:rFonts w:ascii="Century Gothic" w:hAnsi="Century Gothic"/>
          <w:i w:val="0"/>
          <w:iCs w:val="0"/>
        </w:rPr>
        <w:t>intervension</w:t>
      </w:r>
      <w:proofErr w:type="spellEnd"/>
      <w:r w:rsidR="0038619C" w:rsidRPr="0038619C">
        <w:rPr>
          <w:rFonts w:ascii="Century Gothic" w:hAnsi="Century Gothic"/>
          <w:i w:val="0"/>
          <w:iCs w:val="0"/>
        </w:rPr>
        <w:t xml:space="preserve"> analysis</w:t>
      </w:r>
    </w:p>
    <w:p w14:paraId="0B03B60E" w14:textId="77777777" w:rsidR="00F364A2" w:rsidRDefault="00F364A2" w:rsidP="006E2E32">
      <w:pPr>
        <w:ind w:firstLine="284"/>
        <w:rPr>
          <w:rFonts w:ascii="Century Gothic" w:hAnsi="Century Gothic"/>
          <w:color w:val="000000"/>
          <w:sz w:val="18"/>
          <w:szCs w:val="18"/>
          <w:lang w:val="en-ID"/>
        </w:rPr>
      </w:pPr>
      <w:r w:rsidRPr="00F364A2">
        <w:rPr>
          <w:rFonts w:ascii="Century Gothic" w:hAnsi="Century Gothic"/>
          <w:color w:val="000000"/>
          <w:sz w:val="18"/>
          <w:szCs w:val="18"/>
          <w:lang w:val="en-ID"/>
        </w:rPr>
        <w:lastRenderedPageBreak/>
        <w:t>Based on the CCF plot, it is observed that the first significant spike appears at lag 0, indicating that the intervention effect occurs without delay, resulting in b=0. Furthermore, the response pattern shows no gradual decay or complex dynamic patterns after the initial lag, allowing s=0 to be set. On the other hand, a significant pattern is observed up to the first few lags, indicating the presence of a response structure of a certain order; thus, r = 2 is set to represent the initial dynamics of the intervention effect. Consequently, the resulting intervention model exhibits characteristics of an immediate response without delay and without long-term decay effects.</w:t>
      </w:r>
    </w:p>
    <w:p w14:paraId="1D135DF2" w14:textId="77777777" w:rsidR="00E00D7C" w:rsidRPr="00F364A2" w:rsidRDefault="00E00D7C" w:rsidP="006E2E32">
      <w:pPr>
        <w:ind w:firstLine="284"/>
        <w:rPr>
          <w:rFonts w:ascii="Century Gothic" w:hAnsi="Century Gothic"/>
          <w:color w:val="000000"/>
          <w:sz w:val="18"/>
          <w:szCs w:val="18"/>
          <w:lang w:val="en-ID"/>
        </w:rPr>
      </w:pPr>
    </w:p>
    <w:p w14:paraId="56702DE0" w14:textId="61C23425" w:rsidR="00C02A28" w:rsidRDefault="00C02A28" w:rsidP="006E2E32">
      <w:pPr>
        <w:rPr>
          <w:rFonts w:ascii="Century Gothic" w:hAnsi="Century Gothic"/>
          <w:b/>
          <w:bCs/>
          <w:color w:val="943634"/>
          <w:sz w:val="18"/>
          <w:szCs w:val="18"/>
          <w:lang w:val="en-ID"/>
        </w:rPr>
      </w:pPr>
      <w:r w:rsidRPr="00E00D7C">
        <w:rPr>
          <w:rFonts w:ascii="Century Gothic" w:hAnsi="Century Gothic"/>
          <w:b/>
          <w:bCs/>
          <w:color w:val="943634"/>
          <w:sz w:val="18"/>
          <w:szCs w:val="18"/>
          <w:lang w:val="en-ID"/>
        </w:rPr>
        <w:t>3.2.</w:t>
      </w:r>
      <w:r w:rsidR="00AF66E2" w:rsidRPr="00E00D7C">
        <w:rPr>
          <w:rFonts w:ascii="Century Gothic" w:hAnsi="Century Gothic"/>
          <w:b/>
          <w:bCs/>
          <w:color w:val="943634"/>
          <w:sz w:val="18"/>
          <w:szCs w:val="18"/>
          <w:lang w:val="en-ID"/>
        </w:rPr>
        <w:t>5</w:t>
      </w:r>
      <w:r w:rsidR="002D59D8" w:rsidRPr="00E00D7C">
        <w:rPr>
          <w:rFonts w:ascii="Century Gothic" w:hAnsi="Century Gothic"/>
          <w:b/>
          <w:bCs/>
          <w:color w:val="943634"/>
          <w:sz w:val="18"/>
          <w:szCs w:val="18"/>
          <w:lang w:val="en-ID"/>
        </w:rPr>
        <w:t xml:space="preserve"> Parameter</w:t>
      </w:r>
      <w:r w:rsidRPr="00E00D7C">
        <w:rPr>
          <w:rFonts w:ascii="Century Gothic" w:hAnsi="Century Gothic"/>
          <w:b/>
          <w:bCs/>
          <w:color w:val="943634"/>
          <w:sz w:val="18"/>
          <w:szCs w:val="18"/>
          <w:lang w:val="en-ID"/>
        </w:rPr>
        <w:t xml:space="preserve"> </w:t>
      </w:r>
      <w:proofErr w:type="spellStart"/>
      <w:r w:rsidR="00262AA4" w:rsidRPr="00E00D7C">
        <w:rPr>
          <w:rFonts w:ascii="Century Gothic" w:hAnsi="Century Gothic"/>
          <w:b/>
          <w:bCs/>
          <w:color w:val="943634"/>
          <w:sz w:val="18"/>
          <w:szCs w:val="18"/>
          <w:lang w:val="en-ID"/>
        </w:rPr>
        <w:t>interfence</w:t>
      </w:r>
      <w:proofErr w:type="spellEnd"/>
      <w:r w:rsidR="00262AA4" w:rsidRPr="00E00D7C">
        <w:rPr>
          <w:rFonts w:ascii="Century Gothic" w:hAnsi="Century Gothic"/>
          <w:b/>
          <w:bCs/>
          <w:color w:val="943634"/>
          <w:sz w:val="18"/>
          <w:szCs w:val="18"/>
          <w:lang w:val="en-ID"/>
        </w:rPr>
        <w:t xml:space="preserve"> e</w:t>
      </w:r>
      <w:r w:rsidRPr="00E00D7C">
        <w:rPr>
          <w:rFonts w:ascii="Century Gothic" w:hAnsi="Century Gothic"/>
          <w:b/>
          <w:bCs/>
          <w:color w:val="943634"/>
          <w:sz w:val="18"/>
          <w:szCs w:val="18"/>
          <w:lang w:val="en-ID"/>
        </w:rPr>
        <w:t xml:space="preserve">stimation </w:t>
      </w:r>
    </w:p>
    <w:p w14:paraId="4594752B" w14:textId="77777777" w:rsidR="00E00D7C" w:rsidRPr="00E00D7C" w:rsidRDefault="00E00D7C" w:rsidP="006E2E32">
      <w:pPr>
        <w:rPr>
          <w:rFonts w:ascii="Century Gothic" w:hAnsi="Century Gothic"/>
          <w:b/>
          <w:bCs/>
          <w:color w:val="943634"/>
          <w:sz w:val="18"/>
          <w:szCs w:val="18"/>
          <w:lang w:val="en-ID"/>
        </w:rPr>
      </w:pPr>
    </w:p>
    <w:p w14:paraId="286BF222" w14:textId="289CD620" w:rsidR="00F364A2" w:rsidRPr="008272AC" w:rsidRDefault="00C02A28" w:rsidP="00F3357C">
      <w:pPr>
        <w:rPr>
          <w:rFonts w:ascii="Century Gothic" w:hAnsi="Century Gothic"/>
          <w:color w:val="000000"/>
          <w:sz w:val="18"/>
          <w:szCs w:val="18"/>
          <w:lang w:val="en-ID"/>
        </w:rPr>
      </w:pPr>
      <w:r w:rsidRPr="008272AC">
        <w:rPr>
          <w:rFonts w:ascii="Century Gothic" w:hAnsi="Century Gothic"/>
          <w:color w:val="000000"/>
          <w:sz w:val="18"/>
          <w:szCs w:val="18"/>
          <w:lang w:val="en-ID"/>
        </w:rPr>
        <w:t>After the intervention model structure was obtained, parameter estimation was performed to identify the significance and direction of influence of each component in the model.</w:t>
      </w:r>
    </w:p>
    <w:p w14:paraId="54887E3B" w14:textId="4912AFD4" w:rsidR="00401289" w:rsidRPr="00401289" w:rsidRDefault="00401289" w:rsidP="006E2E32">
      <w:pPr>
        <w:pStyle w:val="Caption"/>
        <w:keepNext/>
        <w:spacing w:after="0"/>
        <w:jc w:val="center"/>
        <w:rPr>
          <w:rFonts w:ascii="Century Gothic" w:hAnsi="Century Gothic"/>
          <w:i w:val="0"/>
          <w:iCs w:val="0"/>
        </w:rPr>
      </w:pPr>
      <w:r w:rsidRPr="00401289">
        <w:rPr>
          <w:rFonts w:ascii="Century Gothic" w:hAnsi="Century Gothic"/>
          <w:b/>
          <w:bCs/>
          <w:i w:val="0"/>
          <w:iCs w:val="0"/>
        </w:rPr>
        <w:t xml:space="preserve">Table </w:t>
      </w:r>
      <w:r w:rsidR="001E78CA">
        <w:rPr>
          <w:rFonts w:ascii="Century Gothic" w:hAnsi="Century Gothic"/>
          <w:b/>
          <w:bCs/>
          <w:i w:val="0"/>
          <w:iCs w:val="0"/>
        </w:rPr>
        <w:t>6.</w:t>
      </w:r>
      <w:r w:rsidRPr="00401289">
        <w:rPr>
          <w:rFonts w:ascii="Century Gothic" w:hAnsi="Century Gothic"/>
          <w:i w:val="0"/>
          <w:iCs w:val="0"/>
        </w:rPr>
        <w:t xml:space="preserve"> Significance of the intervention parameters</w:t>
      </w:r>
    </w:p>
    <w:tbl>
      <w:tblPr>
        <w:tblW w:w="4248"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1"/>
        <w:gridCol w:w="567"/>
        <w:gridCol w:w="988"/>
        <w:gridCol w:w="992"/>
      </w:tblGrid>
      <w:tr w:rsidR="00954103" w:rsidRPr="008272AC" w14:paraId="389300DD" w14:textId="77777777">
        <w:trPr>
          <w:cantSplit/>
          <w:trHeight w:val="1134"/>
          <w:jc w:val="center"/>
        </w:trPr>
        <w:tc>
          <w:tcPr>
            <w:tcW w:w="1701" w:type="dxa"/>
            <w:tcBorders>
              <w:top w:val="single" w:sz="4" w:space="0" w:color="auto"/>
              <w:bottom w:val="single" w:sz="4" w:space="0" w:color="auto"/>
            </w:tcBorders>
            <w:tcMar>
              <w:top w:w="80" w:type="dxa"/>
              <w:left w:w="120" w:type="dxa"/>
              <w:bottom w:w="80" w:type="dxa"/>
              <w:right w:w="120" w:type="dxa"/>
            </w:tcMar>
            <w:vAlign w:val="center"/>
          </w:tcPr>
          <w:p w14:paraId="16E7C770" w14:textId="77777777" w:rsidR="00954103" w:rsidRPr="008272AC" w:rsidRDefault="00954103" w:rsidP="006E2E32">
            <w:pPr>
              <w:rPr>
                <w:rFonts w:ascii="Century Gothic" w:hAnsi="Century Gothic"/>
                <w:sz w:val="18"/>
                <w:szCs w:val="18"/>
              </w:rPr>
            </w:pPr>
            <w:proofErr w:type="spellStart"/>
            <w:r w:rsidRPr="008272AC">
              <w:rPr>
                <w:rFonts w:ascii="Century Gothic" w:hAnsi="Century Gothic"/>
                <w:b/>
                <w:bCs/>
                <w:sz w:val="18"/>
                <w:szCs w:val="18"/>
              </w:rPr>
              <w:t>Interdence</w:t>
            </w:r>
            <w:proofErr w:type="spellEnd"/>
            <w:r w:rsidRPr="008272AC">
              <w:rPr>
                <w:rFonts w:ascii="Century Gothic" w:hAnsi="Century Gothic"/>
                <w:b/>
                <w:bCs/>
                <w:sz w:val="18"/>
                <w:szCs w:val="18"/>
              </w:rPr>
              <w:t xml:space="preserve"> Model</w:t>
            </w:r>
          </w:p>
        </w:tc>
        <w:tc>
          <w:tcPr>
            <w:tcW w:w="567" w:type="dxa"/>
            <w:tcBorders>
              <w:top w:val="single" w:sz="4" w:space="0" w:color="auto"/>
              <w:bottom w:val="single" w:sz="4" w:space="0" w:color="auto"/>
            </w:tcBorders>
            <w:tcMar>
              <w:top w:w="80" w:type="dxa"/>
              <w:left w:w="120" w:type="dxa"/>
              <w:bottom w:w="80" w:type="dxa"/>
              <w:right w:w="120" w:type="dxa"/>
            </w:tcMar>
            <w:textDirection w:val="tbRl"/>
            <w:vAlign w:val="center"/>
          </w:tcPr>
          <w:p w14:paraId="54DAD061" w14:textId="77777777" w:rsidR="00954103" w:rsidRPr="008272AC" w:rsidRDefault="00954103" w:rsidP="006E2E32">
            <w:pPr>
              <w:ind w:left="113" w:right="113"/>
              <w:rPr>
                <w:rFonts w:ascii="Century Gothic" w:hAnsi="Century Gothic"/>
                <w:sz w:val="18"/>
                <w:szCs w:val="18"/>
              </w:rPr>
            </w:pPr>
            <w:r w:rsidRPr="008272AC">
              <w:rPr>
                <w:rFonts w:ascii="Century Gothic" w:hAnsi="Century Gothic"/>
                <w:b/>
                <w:bCs/>
                <w:sz w:val="18"/>
                <w:szCs w:val="18"/>
              </w:rPr>
              <w:t>Parameter</w:t>
            </w:r>
          </w:p>
        </w:tc>
        <w:tc>
          <w:tcPr>
            <w:tcW w:w="988" w:type="dxa"/>
            <w:tcBorders>
              <w:top w:val="single" w:sz="4" w:space="0" w:color="auto"/>
              <w:bottom w:val="single" w:sz="4" w:space="0" w:color="auto"/>
            </w:tcBorders>
            <w:tcMar>
              <w:top w:w="80" w:type="dxa"/>
              <w:left w:w="120" w:type="dxa"/>
              <w:bottom w:w="80" w:type="dxa"/>
              <w:right w:w="120" w:type="dxa"/>
            </w:tcMar>
            <w:textDirection w:val="tbRl"/>
            <w:vAlign w:val="center"/>
          </w:tcPr>
          <w:p w14:paraId="69790663" w14:textId="77777777" w:rsidR="00954103" w:rsidRPr="008272AC" w:rsidRDefault="00954103" w:rsidP="006E2E32">
            <w:pPr>
              <w:ind w:left="113" w:right="113"/>
              <w:rPr>
                <w:rFonts w:ascii="Century Gothic" w:hAnsi="Century Gothic"/>
                <w:sz w:val="18"/>
                <w:szCs w:val="18"/>
              </w:rPr>
            </w:pPr>
            <w:r w:rsidRPr="008272AC">
              <w:rPr>
                <w:rFonts w:ascii="Century Gothic" w:hAnsi="Century Gothic"/>
                <w:b/>
                <w:bCs/>
                <w:sz w:val="18"/>
                <w:szCs w:val="18"/>
              </w:rPr>
              <w:t>Estimate</w:t>
            </w:r>
          </w:p>
        </w:tc>
        <w:tc>
          <w:tcPr>
            <w:tcW w:w="992" w:type="dxa"/>
            <w:tcBorders>
              <w:top w:val="single" w:sz="4" w:space="0" w:color="auto"/>
              <w:bottom w:val="single" w:sz="4" w:space="0" w:color="auto"/>
            </w:tcBorders>
            <w:tcMar>
              <w:top w:w="80" w:type="dxa"/>
              <w:left w:w="120" w:type="dxa"/>
              <w:bottom w:w="80" w:type="dxa"/>
              <w:right w:w="120" w:type="dxa"/>
            </w:tcMar>
            <w:textDirection w:val="tbRl"/>
            <w:vAlign w:val="center"/>
          </w:tcPr>
          <w:p w14:paraId="62F6FE9F" w14:textId="77777777" w:rsidR="00954103" w:rsidRPr="008272AC" w:rsidRDefault="00954103" w:rsidP="006E2E32">
            <w:pPr>
              <w:ind w:left="113" w:right="113"/>
              <w:rPr>
                <w:rFonts w:ascii="Century Gothic" w:hAnsi="Century Gothic"/>
                <w:sz w:val="18"/>
                <w:szCs w:val="18"/>
              </w:rPr>
            </w:pPr>
            <w:r w:rsidRPr="008272AC">
              <w:rPr>
                <w:rFonts w:ascii="Century Gothic" w:hAnsi="Century Gothic"/>
                <w:b/>
                <w:bCs/>
                <w:sz w:val="18"/>
                <w:szCs w:val="18"/>
              </w:rPr>
              <w:t>P-value</w:t>
            </w:r>
          </w:p>
        </w:tc>
      </w:tr>
      <w:tr w:rsidR="00954103" w:rsidRPr="008272AC" w14:paraId="7874CD9F" w14:textId="77777777">
        <w:trPr>
          <w:trHeight w:val="20"/>
          <w:jc w:val="center"/>
        </w:trPr>
        <w:tc>
          <w:tcPr>
            <w:tcW w:w="1701" w:type="dxa"/>
            <w:vMerge w:val="restart"/>
            <w:tcBorders>
              <w:top w:val="single" w:sz="4" w:space="0" w:color="auto"/>
            </w:tcBorders>
            <w:tcMar>
              <w:top w:w="80" w:type="dxa"/>
              <w:left w:w="120" w:type="dxa"/>
              <w:bottom w:w="80" w:type="dxa"/>
              <w:right w:w="120" w:type="dxa"/>
            </w:tcMar>
            <w:vAlign w:val="center"/>
          </w:tcPr>
          <w:p w14:paraId="7A94F5B9" w14:textId="77777777" w:rsidR="00954103" w:rsidRPr="008272AC" w:rsidRDefault="00954103" w:rsidP="006E2E32">
            <w:pPr>
              <w:rPr>
                <w:rFonts w:ascii="Century Gothic" w:hAnsi="Century Gothic"/>
                <w:sz w:val="18"/>
                <w:szCs w:val="18"/>
              </w:rPr>
            </w:pPr>
            <w:proofErr w:type="gramStart"/>
            <w:r w:rsidRPr="008272AC">
              <w:rPr>
                <w:rFonts w:ascii="Century Gothic" w:hAnsi="Century Gothic"/>
                <w:sz w:val="18"/>
                <w:szCs w:val="18"/>
              </w:rPr>
              <w:t>ARIMA(</w:t>
            </w:r>
            <w:proofErr w:type="gramEnd"/>
            <w:r w:rsidRPr="008272AC">
              <w:rPr>
                <w:rFonts w:ascii="Century Gothic" w:hAnsi="Century Gothic"/>
                <w:sz w:val="18"/>
                <w:szCs w:val="18"/>
              </w:rPr>
              <w:t xml:space="preserve">0,2,1) </w:t>
            </w:r>
          </w:p>
          <w:p w14:paraId="3FA3B970"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With b=0 r=2 s=0</w:t>
            </w:r>
          </w:p>
        </w:tc>
        <w:tc>
          <w:tcPr>
            <w:tcW w:w="567" w:type="dxa"/>
            <w:tcBorders>
              <w:top w:val="single" w:sz="4" w:space="0" w:color="auto"/>
            </w:tcBorders>
            <w:tcMar>
              <w:top w:w="80" w:type="dxa"/>
              <w:left w:w="120" w:type="dxa"/>
              <w:bottom w:w="80" w:type="dxa"/>
              <w:right w:w="120" w:type="dxa"/>
            </w:tcMar>
            <w:vAlign w:val="center"/>
          </w:tcPr>
          <w:p w14:paraId="070DC180" w14:textId="77777777" w:rsidR="00954103" w:rsidRPr="008272AC" w:rsidRDefault="00000000" w:rsidP="006E2E32">
            <w:pPr>
              <w:rPr>
                <w:rFonts w:ascii="Century Gothic" w:eastAsiaTheme="minorEastAsia" w:hAnsi="Century Gothic"/>
                <w:sz w:val="18"/>
                <w:szCs w:val="18"/>
              </w:rPr>
            </w:pPr>
            <m:oMathPara>
              <m:oMath>
                <m:sSub>
                  <m:sSubPr>
                    <m:ctrlPr>
                      <w:rPr>
                        <w:rFonts w:ascii="Cambria Math" w:hAnsi="Cambria Math"/>
                        <w:sz w:val="18"/>
                        <w:szCs w:val="18"/>
                      </w:rPr>
                    </m:ctrlPr>
                  </m:sSubPr>
                  <m:e>
                    <m:r>
                      <w:rPr>
                        <w:rFonts w:ascii="Cambria Math" w:hAnsi="Cambria Math"/>
                        <w:sz w:val="18"/>
                        <w:szCs w:val="18"/>
                      </w:rPr>
                      <m:t>ω</m:t>
                    </m:r>
                  </m:e>
                  <m:sub>
                    <m:r>
                      <m:rPr>
                        <m:sty m:val="p"/>
                      </m:rPr>
                      <w:rPr>
                        <w:rFonts w:ascii="Cambria Math" w:hAnsi="Cambria Math"/>
                        <w:sz w:val="18"/>
                        <w:szCs w:val="18"/>
                      </w:rPr>
                      <m:t>0</m:t>
                    </m:r>
                  </m:sub>
                </m:sSub>
              </m:oMath>
            </m:oMathPara>
          </w:p>
        </w:tc>
        <w:tc>
          <w:tcPr>
            <w:tcW w:w="988" w:type="dxa"/>
            <w:tcBorders>
              <w:top w:val="single" w:sz="4" w:space="0" w:color="auto"/>
            </w:tcBorders>
            <w:tcMar>
              <w:top w:w="80" w:type="dxa"/>
              <w:left w:w="120" w:type="dxa"/>
              <w:bottom w:w="80" w:type="dxa"/>
              <w:right w:w="120" w:type="dxa"/>
            </w:tcMar>
            <w:vAlign w:val="center"/>
          </w:tcPr>
          <w:p w14:paraId="35C50DBD"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-0.095</w:t>
            </w:r>
          </w:p>
        </w:tc>
        <w:tc>
          <w:tcPr>
            <w:tcW w:w="992" w:type="dxa"/>
            <w:tcBorders>
              <w:top w:val="single" w:sz="4" w:space="0" w:color="auto"/>
            </w:tcBorders>
            <w:tcMar>
              <w:top w:w="80" w:type="dxa"/>
              <w:left w:w="120" w:type="dxa"/>
              <w:bottom w:w="80" w:type="dxa"/>
              <w:right w:w="120" w:type="dxa"/>
            </w:tcMar>
            <w:vAlign w:val="center"/>
          </w:tcPr>
          <w:p w14:paraId="63ACD503"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&lt;0.01</w:t>
            </w:r>
          </w:p>
        </w:tc>
      </w:tr>
      <w:tr w:rsidR="00954103" w:rsidRPr="008272AC" w14:paraId="5B249FF7" w14:textId="77777777">
        <w:trPr>
          <w:jc w:val="center"/>
        </w:trPr>
        <w:tc>
          <w:tcPr>
            <w:tcW w:w="1701" w:type="dxa"/>
            <w:vMerge/>
            <w:tcMar>
              <w:top w:w="80" w:type="dxa"/>
              <w:left w:w="120" w:type="dxa"/>
              <w:bottom w:w="80" w:type="dxa"/>
              <w:right w:w="120" w:type="dxa"/>
            </w:tcMar>
            <w:vAlign w:val="center"/>
          </w:tcPr>
          <w:p w14:paraId="34013E6E" w14:textId="77777777" w:rsidR="00954103" w:rsidRPr="008272AC" w:rsidRDefault="00954103" w:rsidP="006E2E32">
            <w:pPr>
              <w:rPr>
                <w:rFonts w:ascii="Century Gothic" w:hAnsi="Century Gothic"/>
                <w:sz w:val="18"/>
                <w:szCs w:val="18"/>
              </w:rPr>
            </w:pPr>
          </w:p>
        </w:tc>
        <w:tc>
          <w:tcPr>
            <w:tcW w:w="567" w:type="dxa"/>
            <w:tcMar>
              <w:top w:w="80" w:type="dxa"/>
              <w:left w:w="120" w:type="dxa"/>
              <w:bottom w:w="80" w:type="dxa"/>
              <w:right w:w="120" w:type="dxa"/>
            </w:tcMar>
            <w:vAlign w:val="center"/>
          </w:tcPr>
          <w:p w14:paraId="2EC4CA91" w14:textId="77777777" w:rsidR="00954103" w:rsidRPr="008272AC" w:rsidRDefault="00000000" w:rsidP="006E2E32">
            <w:pPr>
              <w:rPr>
                <w:rFonts w:ascii="Century Gothic" w:hAnsi="Century Gothic"/>
                <w:sz w:val="18"/>
                <w:szCs w:val="18"/>
              </w:rPr>
            </w:pPr>
            <m:oMathPara>
              <m:oMath>
                <m:sSub>
                  <m:sSubPr>
                    <m:ctrlPr>
                      <w:rPr>
                        <w:rFonts w:ascii="Cambria Math" w:hAnsi="Cambria Math"/>
                        <w:sz w:val="18"/>
                        <w:szCs w:val="18"/>
                      </w:rPr>
                    </m:ctrlPr>
                  </m:sSubPr>
                  <m:e>
                    <m:r>
                      <w:rPr>
                        <w:rFonts w:ascii="Cambria Math" w:hAnsi="Cambria Math"/>
                        <w:sz w:val="18"/>
                        <w:szCs w:val="18"/>
                      </w:rPr>
                      <m:t>δ</m:t>
                    </m:r>
                  </m:e>
                  <m:sub>
                    <m:r>
                      <m:rPr>
                        <m:sty m:val="p"/>
                      </m:rPr>
                      <w:rPr>
                        <w:rFonts w:ascii="Cambria Math" w:hAnsi="Cambria Math"/>
                        <w:sz w:val="18"/>
                        <w:szCs w:val="18"/>
                      </w:rPr>
                      <m:t>1</m:t>
                    </m:r>
                  </m:sub>
                </m:sSub>
              </m:oMath>
            </m:oMathPara>
          </w:p>
        </w:tc>
        <w:tc>
          <w:tcPr>
            <w:tcW w:w="988" w:type="dxa"/>
            <w:tcMar>
              <w:top w:w="80" w:type="dxa"/>
              <w:left w:w="120" w:type="dxa"/>
              <w:bottom w:w="80" w:type="dxa"/>
              <w:right w:w="120" w:type="dxa"/>
            </w:tcMar>
            <w:vAlign w:val="center"/>
          </w:tcPr>
          <w:p w14:paraId="4E9BF6E4"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0.022</w:t>
            </w:r>
          </w:p>
        </w:tc>
        <w:tc>
          <w:tcPr>
            <w:tcW w:w="992" w:type="dxa"/>
            <w:tcMar>
              <w:top w:w="80" w:type="dxa"/>
              <w:left w:w="120" w:type="dxa"/>
              <w:bottom w:w="80" w:type="dxa"/>
              <w:right w:w="120" w:type="dxa"/>
            </w:tcMar>
            <w:vAlign w:val="center"/>
          </w:tcPr>
          <w:p w14:paraId="505B56FA"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&lt;0.01</w:t>
            </w:r>
          </w:p>
        </w:tc>
      </w:tr>
      <w:tr w:rsidR="00954103" w:rsidRPr="008272AC" w14:paraId="4B1C82D9" w14:textId="77777777">
        <w:trPr>
          <w:jc w:val="center"/>
        </w:trPr>
        <w:tc>
          <w:tcPr>
            <w:tcW w:w="1701" w:type="dxa"/>
            <w:vMerge/>
            <w:tcMar>
              <w:top w:w="80" w:type="dxa"/>
              <w:left w:w="120" w:type="dxa"/>
              <w:bottom w:w="80" w:type="dxa"/>
              <w:right w:w="120" w:type="dxa"/>
            </w:tcMar>
            <w:vAlign w:val="center"/>
          </w:tcPr>
          <w:p w14:paraId="2719BD32" w14:textId="77777777" w:rsidR="00954103" w:rsidRPr="008272AC" w:rsidRDefault="00954103" w:rsidP="006E2E32">
            <w:pPr>
              <w:rPr>
                <w:rFonts w:ascii="Century Gothic" w:hAnsi="Century Gothic"/>
                <w:sz w:val="18"/>
                <w:szCs w:val="18"/>
              </w:rPr>
            </w:pPr>
          </w:p>
        </w:tc>
        <w:tc>
          <w:tcPr>
            <w:tcW w:w="567" w:type="dxa"/>
            <w:tcMar>
              <w:top w:w="80" w:type="dxa"/>
              <w:left w:w="120" w:type="dxa"/>
              <w:bottom w:w="80" w:type="dxa"/>
              <w:right w:w="120" w:type="dxa"/>
            </w:tcMar>
            <w:vAlign w:val="center"/>
          </w:tcPr>
          <w:p w14:paraId="217BE150" w14:textId="77777777" w:rsidR="00954103" w:rsidRPr="008272AC" w:rsidRDefault="00000000" w:rsidP="006E2E32">
            <w:pPr>
              <w:rPr>
                <w:rFonts w:ascii="Century Gothic" w:hAnsi="Century Gothic"/>
                <w:sz w:val="18"/>
                <w:szCs w:val="18"/>
              </w:rPr>
            </w:pPr>
            <m:oMathPara>
              <m:oMath>
                <m:sSub>
                  <m:sSubPr>
                    <m:ctrlPr>
                      <w:rPr>
                        <w:rFonts w:ascii="Cambria Math" w:hAnsi="Cambria Math"/>
                        <w:sz w:val="18"/>
                        <w:szCs w:val="18"/>
                      </w:rPr>
                    </m:ctrlPr>
                  </m:sSubPr>
                  <m:e>
                    <m:r>
                      <w:rPr>
                        <w:rFonts w:ascii="Cambria Math" w:hAnsi="Cambria Math"/>
                        <w:sz w:val="18"/>
                        <w:szCs w:val="18"/>
                      </w:rPr>
                      <m:t>δ</m:t>
                    </m:r>
                  </m:e>
                  <m:sub>
                    <m:r>
                      <w:rPr>
                        <w:rFonts w:ascii="Cambria Math" w:hAnsi="Cambria Math"/>
                        <w:sz w:val="18"/>
                        <w:szCs w:val="18"/>
                      </w:rPr>
                      <m:t>2</m:t>
                    </m:r>
                  </m:sub>
                </m:sSub>
              </m:oMath>
            </m:oMathPara>
          </w:p>
        </w:tc>
        <w:tc>
          <w:tcPr>
            <w:tcW w:w="988" w:type="dxa"/>
            <w:tcMar>
              <w:top w:w="80" w:type="dxa"/>
              <w:left w:w="120" w:type="dxa"/>
              <w:bottom w:w="80" w:type="dxa"/>
              <w:right w:w="120" w:type="dxa"/>
            </w:tcMar>
            <w:vAlign w:val="center"/>
          </w:tcPr>
          <w:p w14:paraId="287F6BBE"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1.352</w:t>
            </w:r>
          </w:p>
        </w:tc>
        <w:tc>
          <w:tcPr>
            <w:tcW w:w="992" w:type="dxa"/>
            <w:tcMar>
              <w:top w:w="80" w:type="dxa"/>
              <w:left w:w="120" w:type="dxa"/>
              <w:bottom w:w="80" w:type="dxa"/>
              <w:right w:w="120" w:type="dxa"/>
            </w:tcMar>
            <w:vAlign w:val="center"/>
          </w:tcPr>
          <w:p w14:paraId="3B551BE9"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&lt;0.01</w:t>
            </w:r>
          </w:p>
        </w:tc>
      </w:tr>
      <w:tr w:rsidR="00954103" w:rsidRPr="008272AC" w14:paraId="54B98992" w14:textId="77777777">
        <w:trPr>
          <w:trHeight w:val="20"/>
          <w:jc w:val="center"/>
        </w:trPr>
        <w:tc>
          <w:tcPr>
            <w:tcW w:w="1701" w:type="dxa"/>
            <w:vMerge/>
            <w:tcMar>
              <w:top w:w="80" w:type="dxa"/>
              <w:left w:w="120" w:type="dxa"/>
              <w:bottom w:w="80" w:type="dxa"/>
              <w:right w:w="120" w:type="dxa"/>
            </w:tcMar>
            <w:vAlign w:val="center"/>
          </w:tcPr>
          <w:p w14:paraId="1FD4AA6E" w14:textId="77777777" w:rsidR="00954103" w:rsidRPr="008272AC" w:rsidRDefault="00954103" w:rsidP="006E2E32">
            <w:pPr>
              <w:rPr>
                <w:rFonts w:ascii="Century Gothic" w:hAnsi="Century Gothic"/>
                <w:sz w:val="18"/>
                <w:szCs w:val="18"/>
              </w:rPr>
            </w:pPr>
          </w:p>
        </w:tc>
        <w:tc>
          <w:tcPr>
            <w:tcW w:w="567" w:type="dxa"/>
            <w:tcMar>
              <w:top w:w="80" w:type="dxa"/>
              <w:left w:w="120" w:type="dxa"/>
              <w:bottom w:w="80" w:type="dxa"/>
              <w:right w:w="120" w:type="dxa"/>
            </w:tcMar>
            <w:vAlign w:val="center"/>
          </w:tcPr>
          <w:p w14:paraId="3C9B1182" w14:textId="77777777" w:rsidR="00954103" w:rsidRPr="008272AC" w:rsidRDefault="00000000" w:rsidP="006E2E32">
            <w:pPr>
              <w:rPr>
                <w:rFonts w:ascii="Century Gothic" w:hAnsi="Century Gothic"/>
                <w:sz w:val="18"/>
                <w:szCs w:val="18"/>
              </w:rPr>
            </w:pPr>
            <m:oMathPara>
              <m:oMath>
                <m:sSub>
                  <m:sSubPr>
                    <m:ctrlPr>
                      <w:rPr>
                        <w:rFonts w:ascii="Cambria Math" w:hAnsi="Cambria Math"/>
                        <w:sz w:val="18"/>
                        <w:szCs w:val="18"/>
                      </w:rPr>
                    </m:ctrlPr>
                  </m:sSubPr>
                  <m:e>
                    <m:r>
                      <w:rPr>
                        <w:rFonts w:ascii="Cambria Math" w:hAnsi="Cambria Math"/>
                        <w:sz w:val="18"/>
                        <w:szCs w:val="18"/>
                      </w:rPr>
                      <m:t>θ</m:t>
                    </m:r>
                  </m:e>
                  <m:sub>
                    <m:r>
                      <m:rPr>
                        <m:sty m:val="p"/>
                      </m:rPr>
                      <w:rPr>
                        <w:rFonts w:ascii="Cambria Math" w:hAnsi="Cambria Math"/>
                        <w:sz w:val="18"/>
                        <w:szCs w:val="18"/>
                      </w:rPr>
                      <m:t>1</m:t>
                    </m:r>
                  </m:sub>
                </m:sSub>
              </m:oMath>
            </m:oMathPara>
          </w:p>
        </w:tc>
        <w:tc>
          <w:tcPr>
            <w:tcW w:w="988" w:type="dxa"/>
            <w:tcMar>
              <w:top w:w="80" w:type="dxa"/>
              <w:left w:w="120" w:type="dxa"/>
              <w:bottom w:w="80" w:type="dxa"/>
              <w:right w:w="120" w:type="dxa"/>
            </w:tcMar>
            <w:vAlign w:val="center"/>
          </w:tcPr>
          <w:p w14:paraId="23FB7003"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-0.896</w:t>
            </w:r>
          </w:p>
        </w:tc>
        <w:tc>
          <w:tcPr>
            <w:tcW w:w="992" w:type="dxa"/>
            <w:tcMar>
              <w:top w:w="80" w:type="dxa"/>
              <w:left w:w="120" w:type="dxa"/>
              <w:bottom w:w="80" w:type="dxa"/>
              <w:right w:w="120" w:type="dxa"/>
            </w:tcMar>
            <w:vAlign w:val="center"/>
          </w:tcPr>
          <w:p w14:paraId="0004D705" w14:textId="77777777" w:rsidR="00954103" w:rsidRPr="008272AC" w:rsidRDefault="00954103" w:rsidP="006E2E32">
            <w:pPr>
              <w:rPr>
                <w:rFonts w:ascii="Century Gothic" w:hAnsi="Century Gothic"/>
                <w:sz w:val="18"/>
                <w:szCs w:val="18"/>
              </w:rPr>
            </w:pPr>
            <w:r w:rsidRPr="008272AC">
              <w:rPr>
                <w:rFonts w:ascii="Century Gothic" w:hAnsi="Century Gothic"/>
                <w:sz w:val="18"/>
                <w:szCs w:val="18"/>
              </w:rPr>
              <w:t>&lt;0.01</w:t>
            </w:r>
          </w:p>
        </w:tc>
      </w:tr>
    </w:tbl>
    <w:p w14:paraId="1A140DFF" w14:textId="06ABEB0E" w:rsidR="00797A63" w:rsidRDefault="00797A63" w:rsidP="006E2E32">
      <w:pPr>
        <w:ind w:firstLine="284"/>
        <w:rPr>
          <w:rFonts w:ascii="Century Gothic" w:hAnsi="Century Gothic"/>
          <w:color w:val="000000"/>
          <w:sz w:val="18"/>
          <w:szCs w:val="18"/>
          <w:lang w:val="en-ID"/>
        </w:rPr>
      </w:pPr>
      <w:r w:rsidRPr="00797A63">
        <w:rPr>
          <w:rFonts w:ascii="Century Gothic" w:hAnsi="Century Gothic"/>
          <w:color w:val="000000"/>
          <w:sz w:val="18"/>
          <w:szCs w:val="18"/>
          <w:lang w:val="en-ID"/>
        </w:rPr>
        <w:t>Based on the estimation results, all parameters in the</w:t>
      </w:r>
      <w:r w:rsidR="00276E18">
        <w:rPr>
          <w:rFonts w:ascii="Century Gothic" w:hAnsi="Century Gothic"/>
          <w:color w:val="000000"/>
          <w:sz w:val="18"/>
          <w:szCs w:val="18"/>
          <w:lang w:val="en-ID"/>
        </w:rPr>
        <w:t xml:space="preserve"> </w:t>
      </w:r>
      <w:r w:rsidRPr="00797A63">
        <w:rPr>
          <w:rFonts w:ascii="Century Gothic" w:hAnsi="Century Gothic"/>
          <w:color w:val="000000"/>
          <w:sz w:val="18"/>
          <w:szCs w:val="18"/>
          <w:lang w:val="en-ID"/>
        </w:rPr>
        <w:t xml:space="preserve">ARIMA(0,2,1) </w:t>
      </w:r>
      <m:oMath>
        <m:sSub>
          <m:sSubPr>
            <m:ctrlPr>
              <w:rPr>
                <w:rFonts w:ascii="Cambria Math" w:hAnsi="Cambria Math"/>
                <w:sz w:val="18"/>
                <w:szCs w:val="18"/>
              </w:rPr>
            </m:ctrlPr>
          </m:sSubPr>
          <m:e>
            <m:r>
              <w:rPr>
                <w:rFonts w:ascii="Cambria Math" w:hAnsi="Cambria Math"/>
                <w:sz w:val="18"/>
                <w:szCs w:val="18"/>
              </w:rPr>
              <m:t>ω</m:t>
            </m:r>
          </m:e>
          <m:sub>
            <m:r>
              <m:rPr>
                <m:sty m:val="p"/>
              </m:rPr>
              <w:rPr>
                <w:rFonts w:ascii="Cambria Math" w:hAnsi="Cambria Math"/>
                <w:sz w:val="18"/>
                <w:szCs w:val="18"/>
              </w:rPr>
              <m:t>0</m:t>
            </m:r>
          </m:sub>
        </m:sSub>
      </m:oMath>
      <w:r w:rsidRPr="00797A63">
        <w:rPr>
          <w:rFonts w:ascii="Century Gothic" w:hAnsi="Century Gothic"/>
          <w:color w:val="000000"/>
          <w:sz w:val="18"/>
          <w:szCs w:val="18"/>
          <w:lang w:val="en-ID"/>
        </w:rPr>
        <w:t xml:space="preserve">, </w:t>
      </w:r>
      <m:oMath>
        <m:sSub>
          <m:sSubPr>
            <m:ctrlPr>
              <w:rPr>
                <w:rFonts w:ascii="Cambria Math" w:hAnsi="Cambria Math"/>
                <w:sz w:val="18"/>
                <w:szCs w:val="18"/>
              </w:rPr>
            </m:ctrlPr>
          </m:sSubPr>
          <m:e>
            <m:r>
              <w:rPr>
                <w:rFonts w:ascii="Cambria Math" w:hAnsi="Cambria Math"/>
                <w:sz w:val="18"/>
                <w:szCs w:val="18"/>
              </w:rPr>
              <m:t>δ</m:t>
            </m:r>
          </m:e>
          <m:sub>
            <m:r>
              <m:rPr>
                <m:sty m:val="p"/>
              </m:rPr>
              <w:rPr>
                <w:rFonts w:ascii="Cambria Math" w:hAnsi="Cambria Math"/>
                <w:sz w:val="18"/>
                <w:szCs w:val="18"/>
              </w:rPr>
              <m:t>1</m:t>
            </m:r>
          </m:sub>
        </m:sSub>
      </m:oMath>
      <w:r w:rsidRPr="00797A63">
        <w:rPr>
          <w:rFonts w:ascii="Century Gothic" w:hAnsi="Century Gothic"/>
          <w:color w:val="000000"/>
          <w:sz w:val="18"/>
          <w:szCs w:val="18"/>
          <w:lang w:val="en-ID"/>
        </w:rPr>
        <w:t xml:space="preserve">, </w:t>
      </w:r>
      <m:oMath>
        <m:sSub>
          <m:sSubPr>
            <m:ctrlPr>
              <w:rPr>
                <w:rFonts w:ascii="Cambria Math" w:hAnsi="Cambria Math"/>
                <w:sz w:val="18"/>
                <w:szCs w:val="18"/>
              </w:rPr>
            </m:ctrlPr>
          </m:sSubPr>
          <m:e>
            <m:r>
              <w:rPr>
                <w:rFonts w:ascii="Cambria Math" w:hAnsi="Cambria Math"/>
                <w:sz w:val="18"/>
                <w:szCs w:val="18"/>
              </w:rPr>
              <m:t>δ</m:t>
            </m:r>
          </m:e>
          <m:sub>
            <m:r>
              <m:rPr>
                <m:sty m:val="p"/>
              </m:rPr>
              <w:rPr>
                <w:rFonts w:ascii="Cambria Math" w:hAnsi="Cambria Math"/>
                <w:sz w:val="18"/>
                <w:szCs w:val="18"/>
              </w:rPr>
              <m:t>2</m:t>
            </m:r>
          </m:sub>
        </m:sSub>
      </m:oMath>
      <w:r w:rsidRPr="00797A63">
        <w:rPr>
          <w:rFonts w:ascii="Century Gothic" w:hAnsi="Century Gothic"/>
          <w:color w:val="000000"/>
          <w:sz w:val="18"/>
          <w:szCs w:val="18"/>
          <w:lang w:val="en-ID"/>
        </w:rPr>
        <w:t xml:space="preserve"> and </w:t>
      </w:r>
      <m:oMath>
        <m:sSub>
          <m:sSubPr>
            <m:ctrlPr>
              <w:rPr>
                <w:rFonts w:ascii="Cambria Math" w:hAnsi="Cambria Math"/>
                <w:sz w:val="18"/>
                <w:szCs w:val="18"/>
              </w:rPr>
            </m:ctrlPr>
          </m:sSubPr>
          <m:e>
            <m:r>
              <w:rPr>
                <w:rFonts w:ascii="Cambria Math" w:hAnsi="Cambria Math"/>
                <w:sz w:val="18"/>
                <w:szCs w:val="18"/>
              </w:rPr>
              <m:t>θ</m:t>
            </m:r>
          </m:e>
          <m:sub>
            <m:r>
              <m:rPr>
                <m:sty m:val="p"/>
              </m:rPr>
              <w:rPr>
                <w:rFonts w:ascii="Cambria Math" w:hAnsi="Cambria Math"/>
                <w:sz w:val="18"/>
                <w:szCs w:val="18"/>
              </w:rPr>
              <m:t>1</m:t>
            </m:r>
          </m:sub>
        </m:sSub>
      </m:oMath>
      <w:r w:rsidR="008272AC" w:rsidRPr="008272AC">
        <w:rPr>
          <w:rFonts w:ascii="Century Gothic" w:hAnsi="Century Gothic"/>
          <w:sz w:val="18"/>
          <w:szCs w:val="18"/>
        </w:rPr>
        <w:t xml:space="preserve"> </w:t>
      </w:r>
      <w:r w:rsidRPr="00797A63">
        <w:rPr>
          <w:rFonts w:ascii="Century Gothic" w:hAnsi="Century Gothic"/>
          <w:color w:val="000000"/>
          <w:sz w:val="18"/>
          <w:szCs w:val="18"/>
          <w:lang w:val="en-ID"/>
        </w:rPr>
        <w:t>are statistically significant (p-value &lt; 0.01), indicating that the intervention and noise components contribute to explaining the data dynamics. </w:t>
      </w:r>
    </w:p>
    <w:p w14:paraId="4AC0577E" w14:textId="77777777" w:rsidR="00E00D7C" w:rsidRPr="008272AC" w:rsidRDefault="00E00D7C" w:rsidP="006E2E32">
      <w:pPr>
        <w:ind w:firstLine="284"/>
        <w:rPr>
          <w:rFonts w:ascii="Century Gothic" w:hAnsi="Century Gothic"/>
          <w:color w:val="000000"/>
          <w:sz w:val="18"/>
          <w:szCs w:val="18"/>
          <w:lang w:val="en-ID"/>
        </w:rPr>
      </w:pPr>
    </w:p>
    <w:p w14:paraId="50E4A2AA" w14:textId="2BE820D6" w:rsidR="00294390" w:rsidRDefault="00294390" w:rsidP="006E2E32">
      <w:pPr>
        <w:rPr>
          <w:rFonts w:ascii="Century Gothic" w:hAnsi="Century Gothic"/>
          <w:b/>
          <w:bCs/>
          <w:color w:val="943634"/>
          <w:sz w:val="18"/>
          <w:szCs w:val="18"/>
          <w:lang w:val="en-ID"/>
        </w:rPr>
      </w:pPr>
      <w:r w:rsidRPr="00E00D7C">
        <w:rPr>
          <w:rFonts w:ascii="Century Gothic" w:hAnsi="Century Gothic"/>
          <w:b/>
          <w:bCs/>
          <w:color w:val="943634"/>
          <w:sz w:val="18"/>
          <w:szCs w:val="18"/>
          <w:lang w:val="en-ID"/>
        </w:rPr>
        <w:t>3.2.</w:t>
      </w:r>
      <w:r w:rsidR="00AF66E2" w:rsidRPr="00E00D7C">
        <w:rPr>
          <w:rFonts w:ascii="Century Gothic" w:hAnsi="Century Gothic"/>
          <w:b/>
          <w:bCs/>
          <w:color w:val="943634"/>
          <w:sz w:val="18"/>
          <w:szCs w:val="18"/>
          <w:lang w:val="en-ID"/>
        </w:rPr>
        <w:t>6</w:t>
      </w:r>
      <w:r w:rsidRPr="00E00D7C">
        <w:rPr>
          <w:rFonts w:ascii="Century Gothic" w:hAnsi="Century Gothic"/>
          <w:b/>
          <w:bCs/>
          <w:color w:val="943634"/>
          <w:sz w:val="18"/>
          <w:szCs w:val="18"/>
          <w:lang w:val="en-ID"/>
        </w:rPr>
        <w:t xml:space="preserve"> Diagnostic Tests </w:t>
      </w:r>
    </w:p>
    <w:p w14:paraId="45B53652" w14:textId="77777777" w:rsidR="00E00D7C" w:rsidRPr="00E00D7C" w:rsidRDefault="00E00D7C" w:rsidP="006E2E32">
      <w:pPr>
        <w:rPr>
          <w:rFonts w:ascii="Century Gothic" w:hAnsi="Century Gothic"/>
          <w:b/>
          <w:bCs/>
          <w:color w:val="943634"/>
          <w:sz w:val="18"/>
          <w:szCs w:val="18"/>
          <w:lang w:val="en-ID"/>
        </w:rPr>
      </w:pPr>
    </w:p>
    <w:p w14:paraId="3D21B334" w14:textId="66F6F3B7" w:rsidR="00294390" w:rsidRPr="008272AC" w:rsidRDefault="00294390" w:rsidP="00F3357C">
      <w:pPr>
        <w:rPr>
          <w:rFonts w:ascii="Century Gothic" w:hAnsi="Century Gothic"/>
          <w:color w:val="000000"/>
          <w:sz w:val="18"/>
          <w:szCs w:val="18"/>
          <w:lang w:val="en-ID"/>
        </w:rPr>
      </w:pPr>
      <w:r w:rsidRPr="00DE5BD4">
        <w:rPr>
          <w:rFonts w:ascii="Century Gothic" w:hAnsi="Century Gothic"/>
          <w:color w:val="000000"/>
          <w:sz w:val="18"/>
          <w:szCs w:val="18"/>
          <w:lang w:val="en-ID"/>
        </w:rPr>
        <w:t>The following are the ARIMA diagnostic results after intervention</w:t>
      </w:r>
    </w:p>
    <w:p w14:paraId="4D9A4B48" w14:textId="20F7CE3A" w:rsidR="00401289" w:rsidRPr="00401289" w:rsidRDefault="00401289" w:rsidP="006E2E32">
      <w:pPr>
        <w:pStyle w:val="Caption"/>
        <w:keepNext/>
        <w:spacing w:after="0"/>
        <w:jc w:val="center"/>
        <w:rPr>
          <w:rFonts w:ascii="Century Gothic" w:hAnsi="Century Gothic"/>
          <w:i w:val="0"/>
          <w:iCs w:val="0"/>
        </w:rPr>
      </w:pPr>
      <w:r w:rsidRPr="00401289">
        <w:rPr>
          <w:rFonts w:ascii="Century Gothic" w:hAnsi="Century Gothic"/>
          <w:b/>
          <w:bCs/>
          <w:i w:val="0"/>
          <w:iCs w:val="0"/>
        </w:rPr>
        <w:t xml:space="preserve">Table </w:t>
      </w:r>
      <w:r w:rsidR="001E78CA">
        <w:rPr>
          <w:rFonts w:ascii="Century Gothic" w:hAnsi="Century Gothic"/>
          <w:b/>
          <w:bCs/>
          <w:i w:val="0"/>
          <w:iCs w:val="0"/>
        </w:rPr>
        <w:t>7.</w:t>
      </w:r>
      <w:r w:rsidRPr="00401289">
        <w:rPr>
          <w:rFonts w:ascii="Century Gothic" w:hAnsi="Century Gothic"/>
          <w:i w:val="0"/>
          <w:iCs w:val="0"/>
        </w:rPr>
        <w:t xml:space="preserve"> Diagnostic test </w:t>
      </w:r>
    </w:p>
    <w:tbl>
      <w:tblPr>
        <w:tblW w:w="4106" w:type="dxa"/>
        <w:tblInd w:w="142" w:type="dxa"/>
        <w:tblBorders>
          <w:top w:val="single" w:sz="4" w:space="0" w:color="auto"/>
          <w:bottom w:val="single" w:sz="4" w:space="0" w:color="auto"/>
        </w:tblBorders>
        <w:tblLayout w:type="fixed"/>
        <w:tblCellMar>
          <w:left w:w="10" w:type="dxa"/>
          <w:right w:w="10" w:type="dxa"/>
        </w:tblCellMar>
        <w:tblLook w:val="04A0" w:firstRow="1" w:lastRow="0" w:firstColumn="1" w:lastColumn="0" w:noHBand="0" w:noVBand="1"/>
      </w:tblPr>
      <w:tblGrid>
        <w:gridCol w:w="1696"/>
        <w:gridCol w:w="1276"/>
        <w:gridCol w:w="567"/>
        <w:gridCol w:w="567"/>
      </w:tblGrid>
      <w:tr w:rsidR="00294390" w:rsidRPr="008272AC" w14:paraId="5ED67750" w14:textId="77777777">
        <w:trPr>
          <w:cantSplit/>
          <w:trHeight w:val="1235"/>
        </w:trPr>
        <w:tc>
          <w:tcPr>
            <w:tcW w:w="1696" w:type="dxa"/>
            <w:tcBorders>
              <w:top w:val="single" w:sz="4" w:space="0" w:color="auto"/>
              <w:bottom w:val="single" w:sz="4" w:space="0" w:color="auto"/>
            </w:tcBorders>
            <w:tcMar>
              <w:top w:w="80" w:type="dxa"/>
              <w:left w:w="120" w:type="dxa"/>
              <w:bottom w:w="80" w:type="dxa"/>
              <w:right w:w="120" w:type="dxa"/>
            </w:tcMar>
            <w:vAlign w:val="center"/>
          </w:tcPr>
          <w:p w14:paraId="4E96AD05" w14:textId="77777777" w:rsidR="00294390" w:rsidRPr="008272AC" w:rsidRDefault="00294390" w:rsidP="006E2E32">
            <w:pPr>
              <w:rPr>
                <w:rFonts w:ascii="Century Gothic" w:hAnsi="Century Gothic"/>
                <w:sz w:val="18"/>
                <w:szCs w:val="18"/>
              </w:rPr>
            </w:pPr>
            <w:r w:rsidRPr="008272AC">
              <w:rPr>
                <w:rFonts w:ascii="Century Gothic" w:hAnsi="Century Gothic"/>
                <w:b/>
                <w:bCs/>
                <w:sz w:val="18"/>
                <w:szCs w:val="18"/>
              </w:rPr>
              <w:t>Model</w:t>
            </w:r>
          </w:p>
        </w:tc>
        <w:tc>
          <w:tcPr>
            <w:tcW w:w="1276" w:type="dxa"/>
            <w:tcBorders>
              <w:top w:val="single" w:sz="4" w:space="0" w:color="auto"/>
              <w:bottom w:val="single" w:sz="4" w:space="0" w:color="auto"/>
            </w:tcBorders>
            <w:tcMar>
              <w:top w:w="80" w:type="dxa"/>
              <w:left w:w="120" w:type="dxa"/>
              <w:bottom w:w="80" w:type="dxa"/>
              <w:right w:w="120" w:type="dxa"/>
            </w:tcMar>
            <w:textDirection w:val="tbRl"/>
            <w:vAlign w:val="center"/>
          </w:tcPr>
          <w:p w14:paraId="057883D1" w14:textId="77777777" w:rsidR="00294390" w:rsidRPr="008272AC" w:rsidRDefault="00294390" w:rsidP="006E2E32">
            <w:pPr>
              <w:ind w:left="113" w:right="113"/>
              <w:rPr>
                <w:rFonts w:ascii="Century Gothic" w:hAnsi="Century Gothic"/>
                <w:sz w:val="18"/>
                <w:szCs w:val="18"/>
              </w:rPr>
            </w:pPr>
            <w:r w:rsidRPr="008272AC">
              <w:rPr>
                <w:rFonts w:ascii="Century Gothic" w:hAnsi="Century Gothic"/>
                <w:b/>
                <w:bCs/>
                <w:sz w:val="18"/>
                <w:szCs w:val="18"/>
              </w:rPr>
              <w:t>AIC</w:t>
            </w:r>
          </w:p>
        </w:tc>
        <w:tc>
          <w:tcPr>
            <w:tcW w:w="567" w:type="dxa"/>
            <w:tcBorders>
              <w:top w:val="single" w:sz="4" w:space="0" w:color="auto"/>
              <w:bottom w:val="single" w:sz="4" w:space="0" w:color="auto"/>
            </w:tcBorders>
            <w:tcMar>
              <w:top w:w="80" w:type="dxa"/>
              <w:left w:w="120" w:type="dxa"/>
              <w:bottom w:w="80" w:type="dxa"/>
              <w:right w:w="120" w:type="dxa"/>
            </w:tcMar>
            <w:textDirection w:val="tbRl"/>
            <w:vAlign w:val="center"/>
          </w:tcPr>
          <w:p w14:paraId="7B65AB16" w14:textId="77777777" w:rsidR="00294390" w:rsidRPr="008272AC" w:rsidRDefault="00294390" w:rsidP="006E2E32">
            <w:pPr>
              <w:ind w:left="113" w:right="113"/>
              <w:rPr>
                <w:rFonts w:ascii="Century Gothic" w:hAnsi="Century Gothic"/>
                <w:sz w:val="18"/>
                <w:szCs w:val="18"/>
              </w:rPr>
            </w:pPr>
            <w:r w:rsidRPr="008272AC">
              <w:rPr>
                <w:rFonts w:ascii="Century Gothic" w:hAnsi="Century Gothic"/>
                <w:b/>
                <w:bCs/>
                <w:sz w:val="18"/>
                <w:szCs w:val="18"/>
              </w:rPr>
              <w:t>Normality Test</w:t>
            </w:r>
          </w:p>
        </w:tc>
        <w:tc>
          <w:tcPr>
            <w:tcW w:w="567" w:type="dxa"/>
            <w:tcBorders>
              <w:top w:val="single" w:sz="4" w:space="0" w:color="auto"/>
              <w:bottom w:val="single" w:sz="4" w:space="0" w:color="auto"/>
            </w:tcBorders>
            <w:tcMar>
              <w:top w:w="80" w:type="dxa"/>
              <w:left w:w="120" w:type="dxa"/>
              <w:bottom w:w="80" w:type="dxa"/>
              <w:right w:w="120" w:type="dxa"/>
            </w:tcMar>
            <w:textDirection w:val="tbRl"/>
            <w:vAlign w:val="center"/>
          </w:tcPr>
          <w:p w14:paraId="066153BF" w14:textId="77777777" w:rsidR="00294390" w:rsidRPr="008272AC" w:rsidRDefault="00294390" w:rsidP="006E2E32">
            <w:pPr>
              <w:ind w:left="113" w:right="113"/>
              <w:rPr>
                <w:rFonts w:ascii="Century Gothic" w:hAnsi="Century Gothic"/>
                <w:sz w:val="18"/>
                <w:szCs w:val="18"/>
              </w:rPr>
            </w:pPr>
            <w:r w:rsidRPr="008272AC">
              <w:rPr>
                <w:rFonts w:ascii="Century Gothic" w:hAnsi="Century Gothic"/>
                <w:b/>
                <w:bCs/>
                <w:sz w:val="18"/>
                <w:szCs w:val="18"/>
              </w:rPr>
              <w:t>Ljung-Box p</w:t>
            </w:r>
          </w:p>
        </w:tc>
      </w:tr>
      <w:tr w:rsidR="00294390" w:rsidRPr="008272AC" w14:paraId="44D7F993" w14:textId="77777777">
        <w:tc>
          <w:tcPr>
            <w:tcW w:w="1696" w:type="dxa"/>
            <w:tcBorders>
              <w:top w:val="single" w:sz="4" w:space="0" w:color="auto"/>
            </w:tcBorders>
            <w:tcMar>
              <w:top w:w="80" w:type="dxa"/>
              <w:left w:w="120" w:type="dxa"/>
              <w:bottom w:w="80" w:type="dxa"/>
              <w:right w:w="120" w:type="dxa"/>
            </w:tcMar>
            <w:vAlign w:val="center"/>
          </w:tcPr>
          <w:p w14:paraId="64AC295A" w14:textId="77777777" w:rsidR="00294390" w:rsidRPr="008272AC" w:rsidRDefault="00294390" w:rsidP="006E2E32">
            <w:pPr>
              <w:rPr>
                <w:rFonts w:ascii="Century Gothic" w:hAnsi="Century Gothic"/>
                <w:sz w:val="18"/>
                <w:szCs w:val="18"/>
              </w:rPr>
            </w:pPr>
            <w:proofErr w:type="gramStart"/>
            <w:r w:rsidRPr="008272AC">
              <w:rPr>
                <w:rFonts w:ascii="Century Gothic" w:hAnsi="Century Gothic"/>
                <w:sz w:val="18"/>
                <w:szCs w:val="18"/>
              </w:rPr>
              <w:t>ARIMA(</w:t>
            </w:r>
            <w:proofErr w:type="gramEnd"/>
            <w:r w:rsidRPr="008272AC">
              <w:rPr>
                <w:rFonts w:ascii="Century Gothic" w:hAnsi="Century Gothic"/>
                <w:sz w:val="18"/>
                <w:szCs w:val="18"/>
              </w:rPr>
              <w:t xml:space="preserve">0,2,1) </w:t>
            </w:r>
          </w:p>
          <w:p w14:paraId="3BBB541D" w14:textId="77777777" w:rsidR="00294390" w:rsidRPr="008272AC" w:rsidRDefault="00294390" w:rsidP="006E2E32">
            <w:pPr>
              <w:rPr>
                <w:rFonts w:ascii="Century Gothic" w:hAnsi="Century Gothic"/>
                <w:sz w:val="18"/>
                <w:szCs w:val="18"/>
              </w:rPr>
            </w:pPr>
            <w:r w:rsidRPr="008272AC">
              <w:rPr>
                <w:rFonts w:ascii="Century Gothic" w:hAnsi="Century Gothic"/>
                <w:sz w:val="18"/>
                <w:szCs w:val="18"/>
              </w:rPr>
              <w:t>With b=0 r=2 s=0</w:t>
            </w:r>
          </w:p>
        </w:tc>
        <w:tc>
          <w:tcPr>
            <w:tcW w:w="1276" w:type="dxa"/>
            <w:tcBorders>
              <w:top w:val="single" w:sz="4" w:space="0" w:color="auto"/>
            </w:tcBorders>
            <w:tcMar>
              <w:top w:w="80" w:type="dxa"/>
              <w:left w:w="120" w:type="dxa"/>
              <w:bottom w:w="80" w:type="dxa"/>
              <w:right w:w="120" w:type="dxa"/>
            </w:tcMar>
            <w:vAlign w:val="center"/>
          </w:tcPr>
          <w:p w14:paraId="1C969E06" w14:textId="77777777" w:rsidR="00294390" w:rsidRPr="008272AC" w:rsidRDefault="00294390" w:rsidP="006E2E32">
            <w:pPr>
              <w:rPr>
                <w:rFonts w:ascii="Century Gothic" w:hAnsi="Century Gothic"/>
                <w:sz w:val="18"/>
                <w:szCs w:val="18"/>
              </w:rPr>
            </w:pPr>
            <w:r w:rsidRPr="008272AC">
              <w:rPr>
                <w:rFonts w:ascii="Century Gothic" w:hAnsi="Century Gothic"/>
                <w:sz w:val="18"/>
                <w:szCs w:val="18"/>
              </w:rPr>
              <w:t>-552.473</w:t>
            </w:r>
          </w:p>
        </w:tc>
        <w:tc>
          <w:tcPr>
            <w:tcW w:w="567" w:type="dxa"/>
            <w:tcBorders>
              <w:top w:val="single" w:sz="4" w:space="0" w:color="auto"/>
            </w:tcBorders>
            <w:tcMar>
              <w:top w:w="80" w:type="dxa"/>
              <w:left w:w="120" w:type="dxa"/>
              <w:bottom w:w="80" w:type="dxa"/>
              <w:right w:w="120" w:type="dxa"/>
            </w:tcMar>
            <w:vAlign w:val="center"/>
          </w:tcPr>
          <w:p w14:paraId="59391C94" w14:textId="77777777" w:rsidR="00294390" w:rsidRPr="008272AC" w:rsidRDefault="00294390" w:rsidP="006E2E32">
            <w:pPr>
              <w:rPr>
                <w:rFonts w:ascii="Century Gothic" w:hAnsi="Century Gothic"/>
                <w:sz w:val="18"/>
                <w:szCs w:val="18"/>
              </w:rPr>
            </w:pPr>
            <w:r w:rsidRPr="008272AC">
              <w:rPr>
                <w:rFonts w:ascii="Segoe UI Symbol" w:hAnsi="Segoe UI Symbol" w:cs="Segoe UI Symbol"/>
                <w:b/>
                <w:bCs/>
                <w:sz w:val="18"/>
                <w:szCs w:val="18"/>
              </w:rPr>
              <w:t>✓</w:t>
            </w:r>
          </w:p>
        </w:tc>
        <w:tc>
          <w:tcPr>
            <w:tcW w:w="567" w:type="dxa"/>
            <w:tcBorders>
              <w:top w:val="single" w:sz="4" w:space="0" w:color="auto"/>
            </w:tcBorders>
            <w:tcMar>
              <w:top w:w="80" w:type="dxa"/>
              <w:left w:w="120" w:type="dxa"/>
              <w:bottom w:w="80" w:type="dxa"/>
              <w:right w:w="120" w:type="dxa"/>
            </w:tcMar>
            <w:vAlign w:val="center"/>
          </w:tcPr>
          <w:p w14:paraId="7F0A2FC8" w14:textId="77777777" w:rsidR="00294390" w:rsidRPr="008272AC" w:rsidRDefault="00294390" w:rsidP="006E2E32">
            <w:pPr>
              <w:rPr>
                <w:rFonts w:ascii="Century Gothic" w:hAnsi="Century Gothic"/>
                <w:sz w:val="18"/>
                <w:szCs w:val="18"/>
              </w:rPr>
            </w:pPr>
            <w:r w:rsidRPr="008272AC">
              <w:rPr>
                <w:rFonts w:ascii="Segoe UI Symbol" w:hAnsi="Segoe UI Symbol" w:cs="Segoe UI Symbol"/>
                <w:b/>
                <w:bCs/>
                <w:sz w:val="18"/>
                <w:szCs w:val="18"/>
              </w:rPr>
              <w:t>✓</w:t>
            </w:r>
          </w:p>
        </w:tc>
      </w:tr>
    </w:tbl>
    <w:p w14:paraId="0E69AF1B" w14:textId="036D3C53" w:rsidR="00797A63" w:rsidRDefault="00797A63" w:rsidP="006E2E32">
      <w:pPr>
        <w:ind w:firstLine="284"/>
        <w:rPr>
          <w:rFonts w:ascii="Century Gothic" w:hAnsi="Century Gothic"/>
          <w:color w:val="000000"/>
          <w:sz w:val="18"/>
          <w:szCs w:val="18"/>
          <w:lang w:val="en-ID"/>
        </w:rPr>
      </w:pPr>
      <w:r w:rsidRPr="00797A63">
        <w:rPr>
          <w:rFonts w:ascii="Century Gothic" w:hAnsi="Century Gothic"/>
          <w:color w:val="000000"/>
          <w:sz w:val="18"/>
          <w:szCs w:val="18"/>
          <w:lang w:val="en-ID"/>
        </w:rPr>
        <w:t xml:space="preserve">Based on the evaluation results of the ARIMA(0,2,1) model with an intervention (b=0, r=2, s=0), an AIC value of -552.473 was obtained, and the residuals satisfy the normality assumption and do not contain autocorrelation based on the Ljung-Box test. This indicates that the model has met the necessary diagnostic criteria, and thus can be deemed suitable </w:t>
      </w:r>
      <w:r w:rsidRPr="00797A63">
        <w:rPr>
          <w:rFonts w:ascii="Century Gothic" w:hAnsi="Century Gothic"/>
          <w:color w:val="000000"/>
          <w:sz w:val="18"/>
          <w:szCs w:val="18"/>
          <w:lang w:val="en-ID"/>
        </w:rPr>
        <w:t>and usable for representing and forecasting the time series.</w:t>
      </w:r>
      <w:r w:rsidR="00276E18">
        <w:rPr>
          <w:rFonts w:ascii="Century Gothic" w:hAnsi="Century Gothic"/>
          <w:color w:val="000000"/>
          <w:sz w:val="18"/>
          <w:szCs w:val="18"/>
          <w:lang w:val="en-ID"/>
        </w:rPr>
        <w:t xml:space="preserve"> </w:t>
      </w:r>
      <w:r w:rsidR="00276E18" w:rsidRPr="00797A63">
        <w:rPr>
          <w:rFonts w:ascii="Century Gothic" w:hAnsi="Century Gothic"/>
          <w:color w:val="000000"/>
          <w:sz w:val="18"/>
          <w:szCs w:val="18"/>
          <w:lang w:val="en-ID"/>
        </w:rPr>
        <w:t xml:space="preserve">Based on the evaluation results yielded a MAPE of 22.2%, indicating that the forecasting accuracy falls into the </w:t>
      </w:r>
      <w:r w:rsidR="00AC02F4">
        <w:rPr>
          <w:rFonts w:ascii="Century Gothic" w:hAnsi="Century Gothic"/>
          <w:color w:val="000000"/>
          <w:sz w:val="18"/>
          <w:szCs w:val="18"/>
          <w:lang w:val="en-ID"/>
        </w:rPr>
        <w:t>low accuracy</w:t>
      </w:r>
      <w:r w:rsidR="00276E18" w:rsidRPr="00797A63">
        <w:rPr>
          <w:rFonts w:ascii="Century Gothic" w:hAnsi="Century Gothic"/>
          <w:color w:val="000000"/>
          <w:sz w:val="18"/>
          <w:szCs w:val="18"/>
          <w:lang w:val="en-ID"/>
        </w:rPr>
        <w:t xml:space="preserve"> category. This indicates that although the model is capable of capturing the main patterns in the time series, there are still limitations in optimally </w:t>
      </w:r>
      <w:proofErr w:type="spellStart"/>
      <w:r w:rsidR="00276E18" w:rsidRPr="00797A63">
        <w:rPr>
          <w:rFonts w:ascii="Century Gothic" w:hAnsi="Century Gothic"/>
          <w:color w:val="000000"/>
          <w:sz w:val="18"/>
          <w:szCs w:val="18"/>
          <w:lang w:val="en-ID"/>
        </w:rPr>
        <w:t>modeling</w:t>
      </w:r>
      <w:proofErr w:type="spellEnd"/>
      <w:r w:rsidR="00276E18" w:rsidRPr="00797A63">
        <w:rPr>
          <w:rFonts w:ascii="Century Gothic" w:hAnsi="Century Gothic"/>
          <w:color w:val="000000"/>
          <w:sz w:val="18"/>
          <w:szCs w:val="18"/>
          <w:lang w:val="en-ID"/>
        </w:rPr>
        <w:t xml:space="preserve"> the complexity of the data. Therefore, a more flexible alternative approach, such as Support Vector Regression with exogenous variables (SVR-X), is needed to improve forecasting performance by considering nonlinear relationships in the data.</w:t>
      </w:r>
    </w:p>
    <w:p w14:paraId="7AB28546" w14:textId="77777777" w:rsidR="00E00D7C" w:rsidRPr="008272AC" w:rsidRDefault="00E00D7C" w:rsidP="006E2E32">
      <w:pPr>
        <w:ind w:firstLine="284"/>
        <w:rPr>
          <w:rFonts w:ascii="Century Gothic" w:hAnsi="Century Gothic"/>
          <w:color w:val="000000"/>
          <w:sz w:val="18"/>
          <w:szCs w:val="18"/>
          <w:lang w:val="en-ID"/>
        </w:rPr>
      </w:pPr>
    </w:p>
    <w:p w14:paraId="795490E1" w14:textId="4B43BCE8" w:rsidR="00911601" w:rsidRPr="00E00D7C" w:rsidRDefault="5EC82F99" w:rsidP="006E2E32">
      <w:pPr>
        <w:rPr>
          <w:rFonts w:ascii="Century Gothic" w:eastAsia="Century Gothic" w:hAnsi="Century Gothic" w:cs="Century Gothic"/>
          <w:b/>
          <w:bCs/>
          <w:color w:val="943634"/>
          <w:sz w:val="18"/>
          <w:szCs w:val="18"/>
        </w:rPr>
      </w:pPr>
      <w:proofErr w:type="gramStart"/>
      <w:r w:rsidRPr="00E00D7C">
        <w:rPr>
          <w:rFonts w:ascii="Century Gothic" w:eastAsia="Century Gothic" w:hAnsi="Century Gothic" w:cs="Century Gothic"/>
          <w:b/>
          <w:bCs/>
          <w:color w:val="943634"/>
          <w:sz w:val="18"/>
          <w:szCs w:val="18"/>
        </w:rPr>
        <w:t>3.3  Support</w:t>
      </w:r>
      <w:proofErr w:type="gramEnd"/>
      <w:r w:rsidRPr="00E00D7C">
        <w:rPr>
          <w:rFonts w:ascii="Century Gothic" w:eastAsia="Century Gothic" w:hAnsi="Century Gothic" w:cs="Century Gothic"/>
          <w:b/>
          <w:bCs/>
          <w:color w:val="943634"/>
          <w:sz w:val="18"/>
          <w:szCs w:val="18"/>
        </w:rPr>
        <w:t xml:space="preserve"> Vector Regression with Intervention Dummy (SVRX)</w:t>
      </w:r>
    </w:p>
    <w:p w14:paraId="48E53912" w14:textId="77777777" w:rsidR="00E00D7C" w:rsidRPr="00911601" w:rsidRDefault="00E00D7C" w:rsidP="006E2E32">
      <w:pPr>
        <w:rPr>
          <w:rFonts w:ascii="Century Gothic" w:eastAsia="Century Gothic" w:hAnsi="Century Gothic" w:cs="Century Gothic"/>
          <w:b/>
          <w:bCs/>
          <w:sz w:val="18"/>
          <w:szCs w:val="18"/>
        </w:rPr>
      </w:pPr>
    </w:p>
    <w:p w14:paraId="0AEFFB41" w14:textId="0F962468" w:rsidR="00911601" w:rsidRDefault="5EC82F99" w:rsidP="00F3357C">
      <w:pPr>
        <w:rPr>
          <w:rFonts w:ascii="Century Gothic" w:eastAsia="Century Gothic" w:hAnsi="Century Gothic" w:cs="Century Gothic"/>
          <w:sz w:val="18"/>
          <w:szCs w:val="18"/>
        </w:rPr>
      </w:pPr>
      <w:r w:rsidRPr="5EC82F99">
        <w:rPr>
          <w:rFonts w:ascii="Century Gothic" w:eastAsia="Century Gothic" w:hAnsi="Century Gothic" w:cs="Century Gothic"/>
          <w:sz w:val="18"/>
          <w:szCs w:val="18"/>
        </w:rPr>
        <w:t xml:space="preserve">The SVRX model was implemented using the </w:t>
      </w:r>
      <w:proofErr w:type="spellStart"/>
      <w:proofErr w:type="gramStart"/>
      <w:r w:rsidRPr="5EC82F99">
        <w:rPr>
          <w:rFonts w:ascii="Century Gothic" w:eastAsia="Century Gothic" w:hAnsi="Century Gothic" w:cs="Century Gothic"/>
          <w:sz w:val="18"/>
          <w:szCs w:val="18"/>
        </w:rPr>
        <w:t>svm</w:t>
      </w:r>
      <w:proofErr w:type="spellEnd"/>
      <w:r w:rsidRPr="5EC82F99">
        <w:rPr>
          <w:rFonts w:ascii="Century Gothic" w:eastAsia="Century Gothic" w:hAnsi="Century Gothic" w:cs="Century Gothic"/>
          <w:sz w:val="18"/>
          <w:szCs w:val="18"/>
        </w:rPr>
        <w:t>(</w:t>
      </w:r>
      <w:proofErr w:type="gramEnd"/>
      <w:r w:rsidRPr="5EC82F99">
        <w:rPr>
          <w:rFonts w:ascii="Century Gothic" w:eastAsia="Century Gothic" w:hAnsi="Century Gothic" w:cs="Century Gothic"/>
          <w:sz w:val="18"/>
          <w:szCs w:val="18"/>
        </w:rPr>
        <w:t xml:space="preserve">) function from the e1071 package in R [version citation]. The training matrix for each observation t comprised the lagged endogenous input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d>
              <m:dPr>
                <m:begChr m:val="{"/>
                <m:endChr m:val="}"/>
                <m:ctrlPr>
                  <w:rPr>
                    <w:rFonts w:ascii="Cambria Math" w:eastAsia="Century Gothic" w:hAnsi="Cambria Math" w:cs="Century Gothic"/>
                    <w:i/>
                    <w:sz w:val="18"/>
                    <w:szCs w:val="18"/>
                  </w:rPr>
                </m:ctrlPr>
              </m:dPr>
              <m:e>
                <m:r>
                  <w:rPr>
                    <w:rFonts w:ascii="Cambria Math" w:eastAsia="Century Gothic" w:hAnsi="Cambria Math" w:cs="Century Gothic"/>
                    <w:sz w:val="18"/>
                    <w:szCs w:val="18"/>
                  </w:rPr>
                  <m:t>t-1</m:t>
                </m:r>
              </m:e>
            </m:d>
          </m:sub>
        </m:sSub>
      </m:oMath>
      <w:r w:rsidRPr="5EC82F99">
        <w:rPr>
          <w:rFonts w:ascii="Century Gothic" w:eastAsia="Century Gothic" w:hAnsi="Century Gothic" w:cs="Century Gothic"/>
          <w:sz w:val="18"/>
          <w:szCs w:val="18"/>
        </w:rPr>
        <w:t xml:space="preserve"> and the binary step function indicator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X</m:t>
            </m:r>
          </m:e>
          <m:sub>
            <m:r>
              <w:rPr>
                <w:rFonts w:ascii="Cambria Math" w:eastAsia="Century Gothic" w:hAnsi="Cambria Math" w:cs="Century Gothic"/>
                <w:sz w:val="18"/>
                <w:szCs w:val="18"/>
              </w:rPr>
              <m:t>t</m:t>
            </m:r>
          </m:sub>
        </m:sSub>
        <m:r>
          <w:rPr>
            <w:rFonts w:ascii="Cambria Math" w:eastAsia="Cambria Math" w:hAnsi="Cambria Math" w:cs="Cambria Math"/>
            <w:sz w:val="18"/>
            <w:szCs w:val="18"/>
          </w:rPr>
          <m:t>∈</m:t>
        </m:r>
        <m:r>
          <w:rPr>
            <w:rFonts w:ascii="Cambria Math" w:eastAsia="Century Gothic" w:hAnsi="Cambria Math" w:cs="Century Gothic"/>
            <w:sz w:val="18"/>
            <w:szCs w:val="18"/>
          </w:rPr>
          <m:t xml:space="preserve"> </m:t>
        </m:r>
        <m:d>
          <m:dPr>
            <m:begChr m:val="{"/>
            <m:endChr m:val="}"/>
            <m:ctrlPr>
              <w:rPr>
                <w:rFonts w:ascii="Cambria Math" w:eastAsia="Century Gothic" w:hAnsi="Cambria Math" w:cs="Century Gothic"/>
                <w:i/>
                <w:sz w:val="18"/>
                <w:szCs w:val="18"/>
              </w:rPr>
            </m:ctrlPr>
          </m:dPr>
          <m:e>
            <m:r>
              <w:rPr>
                <w:rFonts w:ascii="Cambria Math" w:eastAsia="Century Gothic" w:hAnsi="Cambria Math" w:cs="Century Gothic"/>
                <w:sz w:val="18"/>
                <w:szCs w:val="18"/>
              </w:rPr>
              <m:t>0,1</m:t>
            </m:r>
          </m:e>
        </m:d>
      </m:oMath>
      <w:r w:rsidRPr="5EC82F99">
        <w:rPr>
          <w:rFonts w:ascii="Century Gothic" w:eastAsia="Century Gothic" w:hAnsi="Century Gothic" w:cs="Century Gothic"/>
          <w:sz w:val="18"/>
          <w:szCs w:val="18"/>
        </w:rPr>
        <w:t xml:space="preserve">, where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X</m:t>
            </m:r>
          </m:e>
          <m:sub>
            <m:r>
              <w:rPr>
                <w:rFonts w:ascii="Cambria Math" w:eastAsia="Century Gothic" w:hAnsi="Cambria Math" w:cs="Century Gothic"/>
                <w:sz w:val="18"/>
                <w:szCs w:val="18"/>
              </w:rPr>
              <m:t>t</m:t>
            </m:r>
          </m:sub>
        </m:sSub>
        <m:r>
          <w:rPr>
            <w:rFonts w:ascii="Cambria Math" w:eastAsia="Century Gothic" w:hAnsi="Cambria Math" w:cs="Century Gothic"/>
            <w:sz w:val="18"/>
            <w:szCs w:val="18"/>
          </w:rPr>
          <m:t>= 0</m:t>
        </m:r>
      </m:oMath>
      <w:r w:rsidRPr="5EC82F99">
        <w:rPr>
          <w:rFonts w:ascii="Century Gothic" w:eastAsia="Century Gothic" w:hAnsi="Century Gothic" w:cs="Century Gothic"/>
          <w:sz w:val="18"/>
          <w:szCs w:val="18"/>
        </w:rPr>
        <w:t xml:space="preserve"> for </w:t>
      </w:r>
      <m:oMath>
        <m:r>
          <w:rPr>
            <w:rFonts w:ascii="Cambria Math" w:eastAsia="Century Gothic" w:hAnsi="Cambria Math" w:cs="Century Gothic"/>
            <w:sz w:val="18"/>
            <w:szCs w:val="18"/>
          </w:rPr>
          <m:t>t &lt; 122</m:t>
        </m:r>
      </m:oMath>
      <w:r w:rsidRPr="5EC82F99">
        <w:rPr>
          <w:rFonts w:ascii="Century Gothic" w:eastAsia="Century Gothic" w:hAnsi="Century Gothic" w:cs="Century Gothic"/>
          <w:sz w:val="18"/>
          <w:szCs w:val="18"/>
        </w:rPr>
        <w:t xml:space="preserve"> and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X</m:t>
            </m:r>
          </m:e>
          <m:sub>
            <m:r>
              <w:rPr>
                <w:rFonts w:ascii="Cambria Math" w:eastAsia="Century Gothic" w:hAnsi="Cambria Math" w:cs="Century Gothic"/>
                <w:sz w:val="18"/>
                <w:szCs w:val="18"/>
              </w:rPr>
              <m:t>t</m:t>
            </m:r>
          </m:sub>
        </m:sSub>
        <m:r>
          <w:rPr>
            <w:rFonts w:ascii="Cambria Math" w:eastAsia="Century Gothic" w:hAnsi="Cambria Math" w:cs="Century Gothic"/>
            <w:sz w:val="18"/>
            <w:szCs w:val="18"/>
          </w:rPr>
          <m:t>= 1</m:t>
        </m:r>
      </m:oMath>
      <w:r w:rsidRPr="5EC82F99">
        <w:rPr>
          <w:rFonts w:ascii="Century Gothic" w:eastAsia="Century Gothic" w:hAnsi="Century Gothic" w:cs="Century Gothic"/>
          <w:sz w:val="18"/>
          <w:szCs w:val="18"/>
        </w:rPr>
        <w:t xml:space="preserve"> for </w:t>
      </w:r>
      <m:oMath>
        <m:r>
          <w:rPr>
            <w:rFonts w:ascii="Cambria Math" w:eastAsia="Century Gothic" w:hAnsi="Cambria Math" w:cs="Century Gothic"/>
            <w:sz w:val="18"/>
            <w:szCs w:val="18"/>
          </w:rPr>
          <m:t>t ≥ 122</m:t>
        </m:r>
      </m:oMath>
      <w:r w:rsidRPr="5EC82F99">
        <w:rPr>
          <w:rFonts w:ascii="Century Gothic" w:eastAsia="Century Gothic" w:hAnsi="Century Gothic" w:cs="Century Gothic"/>
          <w:sz w:val="18"/>
          <w:szCs w:val="18"/>
        </w:rPr>
        <w:t>. Four kernel functions — linear, radial basis function (RBF), sigmoid, and polynomial — were evaluated in a fully standardised procedure described below. The following three sub-sections report, in sequence: pre-modelling diagnostic checks specific to the SVRX specification, the kernel screening and hyperparameter optimisation results, and the training and testing performance of the selected final model.</w:t>
      </w:r>
    </w:p>
    <w:p w14:paraId="634800C8" w14:textId="77777777" w:rsidR="00E00D7C" w:rsidRPr="00911601" w:rsidRDefault="00E00D7C" w:rsidP="006E2E32">
      <w:pPr>
        <w:ind w:firstLine="284"/>
      </w:pPr>
    </w:p>
    <w:p w14:paraId="075B85FE" w14:textId="57C05F8A" w:rsidR="00647017" w:rsidRDefault="5EC82F99" w:rsidP="006E2E32">
      <w:pPr>
        <w:rPr>
          <w:rFonts w:ascii="Century Gothic" w:eastAsia="Century Gothic" w:hAnsi="Century Gothic" w:cs="Century Gothic"/>
          <w:b/>
          <w:bCs/>
          <w:color w:val="943634"/>
          <w:sz w:val="18"/>
          <w:szCs w:val="18"/>
        </w:rPr>
      </w:pPr>
      <w:proofErr w:type="gramStart"/>
      <w:r w:rsidRPr="00E00D7C">
        <w:rPr>
          <w:rFonts w:ascii="Century Gothic" w:eastAsia="Century Gothic" w:hAnsi="Century Gothic" w:cs="Century Gothic"/>
          <w:b/>
          <w:bCs/>
          <w:color w:val="943634"/>
          <w:sz w:val="18"/>
          <w:szCs w:val="18"/>
        </w:rPr>
        <w:t>3.3.1  Pre</w:t>
      </w:r>
      <w:proofErr w:type="gramEnd"/>
      <w:r w:rsidRPr="00E00D7C">
        <w:rPr>
          <w:rFonts w:ascii="Century Gothic" w:eastAsia="Century Gothic" w:hAnsi="Century Gothic" w:cs="Century Gothic"/>
          <w:b/>
          <w:bCs/>
          <w:color w:val="943634"/>
          <w:sz w:val="18"/>
          <w:szCs w:val="18"/>
        </w:rPr>
        <w:t>-modelling Diagnostics</w:t>
      </w:r>
    </w:p>
    <w:p w14:paraId="728FCAB7" w14:textId="77777777" w:rsidR="00E00D7C" w:rsidRPr="00E00D7C" w:rsidRDefault="00E00D7C" w:rsidP="006E2E32">
      <w:pPr>
        <w:rPr>
          <w:color w:val="943634"/>
        </w:rPr>
      </w:pPr>
    </w:p>
    <w:p w14:paraId="3C26DAFA" w14:textId="78B77962" w:rsidR="00AD70D0" w:rsidRPr="00647017" w:rsidRDefault="5EC82F99" w:rsidP="00F3357C">
      <w:pPr>
        <w:spacing w:after="140"/>
        <w:rPr>
          <w:rFonts w:ascii="Century Gothic" w:eastAsia="Century Gothic" w:hAnsi="Century Gothic" w:cs="Century Gothic"/>
          <w:sz w:val="18"/>
          <w:szCs w:val="18"/>
        </w:rPr>
      </w:pPr>
      <w:r w:rsidRPr="5EC82F99">
        <w:rPr>
          <w:rFonts w:ascii="Century Gothic" w:eastAsia="Century Gothic" w:hAnsi="Century Gothic" w:cs="Century Gothic"/>
          <w:sz w:val="18"/>
          <w:szCs w:val="18"/>
        </w:rPr>
        <w:t xml:space="preserve">The partial autocorrelation function (PACF) of the INCO series was examined over 12 lags to determine the appropriate autoregressive lag order for the SVRX input. </w:t>
      </w:r>
      <w:r w:rsidR="003F58C7" w:rsidRPr="003F58C7">
        <w:rPr>
          <w:rFonts w:ascii="Century Gothic" w:eastAsia="Century Gothic" w:hAnsi="Century Gothic" w:cs="Century Gothic"/>
          <w:sz w:val="18"/>
          <w:szCs w:val="18"/>
        </w:rPr>
        <w:t xml:space="preserve">Figure </w:t>
      </w:r>
      <w:r w:rsidR="00D85A9C">
        <w:rPr>
          <w:rFonts w:ascii="Century Gothic" w:eastAsia="Century Gothic" w:hAnsi="Century Gothic" w:cs="Century Gothic"/>
          <w:sz w:val="18"/>
          <w:szCs w:val="18"/>
        </w:rPr>
        <w:t>1</w:t>
      </w:r>
      <w:r w:rsidR="009C20F1">
        <w:rPr>
          <w:rFonts w:ascii="Century Gothic" w:eastAsia="Century Gothic" w:hAnsi="Century Gothic" w:cs="Century Gothic"/>
          <w:sz w:val="18"/>
          <w:szCs w:val="18"/>
        </w:rPr>
        <w:t>1</w:t>
      </w:r>
      <w:r w:rsidR="003F58C7" w:rsidRPr="003F58C7">
        <w:rPr>
          <w:rFonts w:ascii="Century Gothic" w:eastAsia="Century Gothic" w:hAnsi="Century Gothic" w:cs="Century Gothic"/>
          <w:sz w:val="18"/>
          <w:szCs w:val="18"/>
        </w:rPr>
        <w:t xml:space="preserve"> displays the PACF plot. The first partial autocorrelation coefficient is the only one to break the </w:t>
      </w:r>
      <m:oMath>
        <m:r>
          <w:rPr>
            <w:rFonts w:ascii="Cambria Math" w:eastAsia="Century Gothic" w:hAnsi="Cambria Math" w:cs="Century Gothic"/>
            <w:sz w:val="18"/>
            <w:szCs w:val="18"/>
          </w:rPr>
          <m:t>95%</m:t>
        </m:r>
      </m:oMath>
      <w:r w:rsidR="003F58C7" w:rsidRPr="003F58C7">
        <w:rPr>
          <w:rFonts w:ascii="Century Gothic" w:eastAsia="Century Gothic" w:hAnsi="Century Gothic" w:cs="Century Gothic"/>
          <w:sz w:val="18"/>
          <w:szCs w:val="18"/>
        </w:rPr>
        <w:t xml:space="preserve"> confidence bounds. Every other coefficient from lag 2 down to 12 sits neatly inside the </w:t>
      </w:r>
      <m:oMath>
        <m:r>
          <w:rPr>
            <w:rFonts w:ascii="Cambria Math" w:eastAsia="Century Gothic" w:hAnsi="Cambria Math" w:cs="Century Gothic"/>
            <w:sz w:val="18"/>
            <w:szCs w:val="18"/>
          </w:rPr>
          <m:t>±0.19</m:t>
        </m:r>
      </m:oMath>
      <w:r w:rsidR="003F58C7" w:rsidRPr="003F58C7">
        <w:rPr>
          <w:rFonts w:ascii="Century Gothic" w:eastAsia="Century Gothic" w:hAnsi="Century Gothic" w:cs="Century Gothic"/>
          <w:sz w:val="18"/>
          <w:szCs w:val="18"/>
        </w:rPr>
        <w:t xml:space="preserve"> range. Because of this sharp drop-off, the model uses just one lagged value,</w:t>
      </w:r>
      <w:r w:rsidR="000B0543" w:rsidRPr="000B0543">
        <w:rPr>
          <w:rFonts w:ascii="Cambria Math" w:eastAsia="Century Gothic" w:hAnsi="Cambria Math" w:cs="Century Gothic"/>
          <w:i/>
          <w:sz w:val="18"/>
          <w:szCs w:val="18"/>
        </w:rPr>
        <w:t xml:space="preserve">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d>
              <m:dPr>
                <m:begChr m:val="{"/>
                <m:endChr m:val="}"/>
                <m:ctrlPr>
                  <w:rPr>
                    <w:rFonts w:ascii="Cambria Math" w:eastAsia="Century Gothic" w:hAnsi="Cambria Math" w:cs="Century Gothic"/>
                    <w:i/>
                    <w:sz w:val="18"/>
                    <w:szCs w:val="18"/>
                  </w:rPr>
                </m:ctrlPr>
              </m:dPr>
              <m:e>
                <m:r>
                  <w:rPr>
                    <w:rFonts w:ascii="Cambria Math" w:eastAsia="Century Gothic" w:hAnsi="Cambria Math" w:cs="Century Gothic"/>
                    <w:sz w:val="18"/>
                    <w:szCs w:val="18"/>
                  </w:rPr>
                  <m:t>t-1</m:t>
                </m:r>
              </m:e>
            </m:d>
          </m:sub>
        </m:sSub>
      </m:oMath>
      <w:r w:rsidR="003F58C7" w:rsidRPr="003F58C7">
        <w:rPr>
          <w:rFonts w:ascii="Century Gothic" w:eastAsia="Century Gothic" w:hAnsi="Century Gothic" w:cs="Century Gothic"/>
          <w:sz w:val="18"/>
          <w:szCs w:val="18"/>
        </w:rPr>
        <w:t xml:space="preserve">, as its only endogenous input. This setup creates a final SVRX input vector of </w:t>
      </w:r>
      <m:oMath>
        <m:d>
          <m:dPr>
            <m:begChr m:val="["/>
            <m:endChr m:val="]"/>
            <m:ctrlPr>
              <w:rPr>
                <w:rFonts w:ascii="Cambria Math" w:eastAsia="Century Gothic" w:hAnsi="Cambria Math" w:cs="Century Gothic"/>
                <w:i/>
                <w:sz w:val="18"/>
                <w:szCs w:val="18"/>
              </w:rPr>
            </m:ctrlPr>
          </m:dPr>
          <m:e>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y</m:t>
                </m:r>
              </m:e>
              <m:sub>
                <m:d>
                  <m:dPr>
                    <m:begChr m:val="{"/>
                    <m:endChr m:val="}"/>
                    <m:ctrlPr>
                      <w:rPr>
                        <w:rFonts w:ascii="Cambria Math" w:eastAsia="Century Gothic" w:hAnsi="Cambria Math" w:cs="Century Gothic"/>
                        <w:i/>
                        <w:sz w:val="18"/>
                        <w:szCs w:val="18"/>
                      </w:rPr>
                    </m:ctrlPr>
                  </m:dPr>
                  <m:e>
                    <m:r>
                      <w:rPr>
                        <w:rFonts w:ascii="Cambria Math" w:eastAsia="Century Gothic" w:hAnsi="Cambria Math" w:cs="Century Gothic"/>
                        <w:sz w:val="18"/>
                        <w:szCs w:val="18"/>
                      </w:rPr>
                      <m:t>t-1</m:t>
                    </m:r>
                  </m:e>
                </m:d>
              </m:sub>
            </m:sSub>
            <m:r>
              <w:rPr>
                <w:rFonts w:ascii="Cambria Math" w:eastAsia="Century Gothic" w:hAnsi="Cambria Math" w:cs="Century Gothic"/>
                <w:sz w:val="18"/>
                <w:szCs w:val="18"/>
              </w:rPr>
              <m:t xml:space="preserve">, </m:t>
            </m:r>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X</m:t>
                </m:r>
              </m:e>
              <m:sub>
                <m:r>
                  <w:rPr>
                    <w:rFonts w:ascii="Cambria Math" w:eastAsia="Century Gothic" w:hAnsi="Cambria Math" w:cs="Century Gothic"/>
                    <w:sz w:val="18"/>
                    <w:szCs w:val="18"/>
                  </w:rPr>
                  <m:t>t</m:t>
                </m:r>
              </m:sub>
            </m:sSub>
          </m:e>
        </m:d>
      </m:oMath>
      <w:r w:rsidR="000B0543" w:rsidRPr="5EC82F99">
        <w:rPr>
          <w:rFonts w:ascii="Century Gothic" w:eastAsia="Century Gothic" w:hAnsi="Century Gothic" w:cs="Century Gothic"/>
          <w:sz w:val="18"/>
          <w:szCs w:val="18"/>
        </w:rPr>
        <w:t xml:space="preserve"> </w:t>
      </w:r>
      <w:r w:rsidR="003F58C7" w:rsidRPr="003F58C7">
        <w:rPr>
          <w:rFonts w:ascii="Century Gothic" w:eastAsia="Century Gothic" w:hAnsi="Century Gothic" w:cs="Century Gothic"/>
          <w:sz w:val="18"/>
          <w:szCs w:val="18"/>
        </w:rPr>
        <w:t xml:space="preserve"> for every single training and testing observation.</w:t>
      </w:r>
    </w:p>
    <w:p w14:paraId="20951FEE" w14:textId="4C3FEACC" w:rsidR="00262E24" w:rsidRDefault="00E23A76" w:rsidP="006E2E32">
      <w:pPr>
        <w:spacing w:after="140"/>
        <w:jc w:val="center"/>
      </w:pPr>
      <w:r>
        <w:rPr>
          <w:noProof/>
        </w:rPr>
        <w:drawing>
          <wp:inline distT="0" distB="0" distL="0" distR="0" wp14:anchorId="5A81DEC5" wp14:editId="55761E29">
            <wp:extent cx="2187245" cy="1970864"/>
            <wp:effectExtent l="0" t="0" r="3810" b="0"/>
            <wp:docPr id="1221949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49757" name="Picture 1221949757"/>
                    <pic:cNvPicPr/>
                  </pic:nvPicPr>
                  <pic:blipFill rotWithShape="1">
                    <a:blip r:embed="rId31" cstate="print">
                      <a:extLst>
                        <a:ext uri="{28A0092B-C50C-407E-A947-70E740481C1C}">
                          <a14:useLocalDpi xmlns:a14="http://schemas.microsoft.com/office/drawing/2010/main" val="0"/>
                        </a:ext>
                      </a:extLst>
                    </a:blip>
                    <a:srcRect t="9893"/>
                    <a:stretch>
                      <a:fillRect/>
                    </a:stretch>
                  </pic:blipFill>
                  <pic:spPr bwMode="auto">
                    <a:xfrm>
                      <a:off x="0" y="0"/>
                      <a:ext cx="2192153" cy="1975286"/>
                    </a:xfrm>
                    <a:prstGeom prst="rect">
                      <a:avLst/>
                    </a:prstGeom>
                    <a:ln>
                      <a:noFill/>
                    </a:ln>
                    <a:extLst>
                      <a:ext uri="{53640926-AAD7-44D8-BBD7-CCE9431645EC}">
                        <a14:shadowObscured xmlns:a14="http://schemas.microsoft.com/office/drawing/2010/main"/>
                      </a:ext>
                    </a:extLst>
                  </pic:spPr>
                </pic:pic>
              </a:graphicData>
            </a:graphic>
          </wp:inline>
        </w:drawing>
      </w:r>
    </w:p>
    <w:p w14:paraId="38486130" w14:textId="326FD50E" w:rsidR="00AD70D0" w:rsidRPr="0038619C" w:rsidRDefault="5EC82F99" w:rsidP="006E2E32">
      <w:pPr>
        <w:spacing w:after="40"/>
        <w:jc w:val="center"/>
      </w:pPr>
      <w:r w:rsidRPr="00262E24">
        <w:rPr>
          <w:rFonts w:ascii="Century Gothic" w:eastAsia="Century Gothic" w:hAnsi="Century Gothic" w:cs="Century Gothic"/>
          <w:b/>
          <w:bCs/>
          <w:sz w:val="18"/>
          <w:szCs w:val="18"/>
        </w:rPr>
        <w:lastRenderedPageBreak/>
        <w:t xml:space="preserve">Figure </w:t>
      </w:r>
      <w:r w:rsidR="00BB3BD8">
        <w:rPr>
          <w:rFonts w:ascii="Century Gothic" w:eastAsia="Century Gothic" w:hAnsi="Century Gothic" w:cs="Century Gothic"/>
          <w:b/>
          <w:bCs/>
          <w:sz w:val="18"/>
          <w:szCs w:val="18"/>
        </w:rPr>
        <w:t>1</w:t>
      </w:r>
      <w:r w:rsidR="003348B3">
        <w:rPr>
          <w:rFonts w:ascii="Century Gothic" w:eastAsia="Century Gothic" w:hAnsi="Century Gothic" w:cs="Century Gothic"/>
          <w:b/>
          <w:bCs/>
          <w:sz w:val="18"/>
          <w:szCs w:val="18"/>
        </w:rPr>
        <w:t>1</w:t>
      </w:r>
      <w:r w:rsidR="00BB3BD8">
        <w:rPr>
          <w:rFonts w:ascii="Century Gothic" w:eastAsia="Century Gothic" w:hAnsi="Century Gothic" w:cs="Century Gothic"/>
          <w:b/>
          <w:bCs/>
          <w:sz w:val="18"/>
          <w:szCs w:val="18"/>
        </w:rPr>
        <w:t>.</w:t>
      </w:r>
      <w:r w:rsidRPr="00262E24">
        <w:rPr>
          <w:rFonts w:ascii="Century Gothic" w:eastAsia="Century Gothic" w:hAnsi="Century Gothic" w:cs="Century Gothic"/>
          <w:b/>
          <w:bCs/>
          <w:sz w:val="18"/>
          <w:szCs w:val="18"/>
        </w:rPr>
        <w:t xml:space="preserve"> </w:t>
      </w:r>
      <w:r w:rsidRPr="5EC82F99">
        <w:rPr>
          <w:rFonts w:ascii="Century Gothic" w:eastAsia="Century Gothic" w:hAnsi="Century Gothic" w:cs="Century Gothic"/>
          <w:sz w:val="18"/>
          <w:szCs w:val="18"/>
        </w:rPr>
        <w:t xml:space="preserve"> </w:t>
      </w:r>
      <w:r w:rsidR="00D85A9C" w:rsidRPr="00D85A9C">
        <w:rPr>
          <w:rFonts w:ascii="Century Gothic" w:eastAsia="Century Gothic" w:hAnsi="Century Gothic" w:cs="Century Gothic"/>
          <w:sz w:val="18"/>
          <w:szCs w:val="18"/>
        </w:rPr>
        <w:t>Partial autocorrelation function (PACF) of INCO weekly closing price, lags 1–12.</w:t>
      </w:r>
    </w:p>
    <w:p w14:paraId="60D89805" w14:textId="11A17A79" w:rsidR="00AD70D0" w:rsidRDefault="5EC82F99" w:rsidP="006E2E32">
      <w:pPr>
        <w:spacing w:before="180"/>
        <w:jc w:val="left"/>
        <w:rPr>
          <w:rFonts w:ascii="Century Gothic" w:eastAsia="Century Gothic" w:hAnsi="Century Gothic" w:cs="Century Gothic"/>
          <w:b/>
          <w:bCs/>
          <w:i/>
          <w:iCs/>
          <w:color w:val="943634"/>
          <w:sz w:val="18"/>
          <w:szCs w:val="18"/>
        </w:rPr>
      </w:pPr>
      <w:proofErr w:type="gramStart"/>
      <w:r w:rsidRPr="00E00D7C">
        <w:rPr>
          <w:rFonts w:ascii="Century Gothic" w:eastAsia="Century Gothic" w:hAnsi="Century Gothic" w:cs="Century Gothic"/>
          <w:b/>
          <w:bCs/>
          <w:i/>
          <w:iCs/>
          <w:color w:val="943634"/>
          <w:sz w:val="18"/>
          <w:szCs w:val="18"/>
        </w:rPr>
        <w:t>3.3.2  Kernel</w:t>
      </w:r>
      <w:proofErr w:type="gramEnd"/>
      <w:r w:rsidRPr="00E00D7C">
        <w:rPr>
          <w:rFonts w:ascii="Century Gothic" w:eastAsia="Century Gothic" w:hAnsi="Century Gothic" w:cs="Century Gothic"/>
          <w:b/>
          <w:bCs/>
          <w:i/>
          <w:iCs/>
          <w:color w:val="943634"/>
          <w:sz w:val="18"/>
          <w:szCs w:val="18"/>
        </w:rPr>
        <w:t xml:space="preserve"> Screening and Hyperparameter </w:t>
      </w:r>
      <w:proofErr w:type="spellStart"/>
      <w:r w:rsidRPr="00E00D7C">
        <w:rPr>
          <w:rFonts w:ascii="Century Gothic" w:eastAsia="Century Gothic" w:hAnsi="Century Gothic" w:cs="Century Gothic"/>
          <w:b/>
          <w:bCs/>
          <w:i/>
          <w:iCs/>
          <w:color w:val="943634"/>
          <w:sz w:val="18"/>
          <w:szCs w:val="18"/>
        </w:rPr>
        <w:t>Optimisation</w:t>
      </w:r>
      <w:proofErr w:type="spellEnd"/>
    </w:p>
    <w:p w14:paraId="17121110" w14:textId="77777777" w:rsidR="00D96FC3" w:rsidRPr="00E00D7C" w:rsidRDefault="00D96FC3" w:rsidP="006E2E32">
      <w:pPr>
        <w:jc w:val="left"/>
        <w:rPr>
          <w:color w:val="943634"/>
        </w:rPr>
      </w:pPr>
    </w:p>
    <w:p w14:paraId="3567552C" w14:textId="3D4B0AFD" w:rsidR="00AD70D0" w:rsidRPr="002619BC" w:rsidRDefault="002619BC" w:rsidP="00F3357C">
      <w:pPr>
        <w:rPr>
          <w:rFonts w:ascii="Century Gothic" w:eastAsia="Century Gothic" w:hAnsi="Century Gothic" w:cs="Century Gothic"/>
          <w:sz w:val="18"/>
          <w:szCs w:val="18"/>
        </w:rPr>
      </w:pPr>
      <w:r w:rsidRPr="002619BC">
        <w:rPr>
          <w:rFonts w:ascii="Century Gothic" w:eastAsia="Century Gothic" w:hAnsi="Century Gothic" w:cs="Century Gothic"/>
          <w:sz w:val="18"/>
          <w:szCs w:val="18"/>
        </w:rPr>
        <w:t xml:space="preserve">We initially fit all four kernels to the training data using default parameters </w:t>
      </w:r>
      <m:oMath>
        <m:r>
          <w:rPr>
            <w:rFonts w:ascii="Cambria Math" w:eastAsia="Century Gothic" w:hAnsi="Cambria Math" w:cs="Century Gothic"/>
            <w:sz w:val="18"/>
            <w:szCs w:val="18"/>
          </w:rPr>
          <m:t>(ε = 0.1, C = 1, γ =</m:t>
        </m:r>
      </m:oMath>
      <w:r w:rsidRPr="5EC82F99">
        <w:rPr>
          <w:rFonts w:ascii="Century Gothic" w:eastAsia="Century Gothic" w:hAnsi="Century Gothic" w:cs="Century Gothic"/>
          <w:sz w:val="18"/>
          <w:szCs w:val="18"/>
        </w:rPr>
        <w:t xml:space="preserve"> default)</w:t>
      </w:r>
      <w:r w:rsidRPr="002619BC">
        <w:rPr>
          <w:rFonts w:ascii="Century Gothic" w:eastAsia="Century Gothic" w:hAnsi="Century Gothic" w:cs="Century Gothic"/>
          <w:sz w:val="18"/>
          <w:szCs w:val="18"/>
        </w:rPr>
        <w:t xml:space="preserve"> to establish a baseline. Figure </w:t>
      </w:r>
      <w:r w:rsidR="009C5587">
        <w:rPr>
          <w:rFonts w:ascii="Century Gothic" w:eastAsia="Century Gothic" w:hAnsi="Century Gothic" w:cs="Century Gothic"/>
          <w:sz w:val="18"/>
          <w:szCs w:val="18"/>
        </w:rPr>
        <w:t>12</w:t>
      </w:r>
      <w:r w:rsidRPr="002619BC">
        <w:rPr>
          <w:rFonts w:ascii="Century Gothic" w:eastAsia="Century Gothic" w:hAnsi="Century Gothic" w:cs="Century Gothic"/>
          <w:sz w:val="18"/>
          <w:szCs w:val="18"/>
        </w:rPr>
        <w:t xml:space="preserve"> maps these early untuned RMSE and MAPE results by plotting the actual training trajectories against the predicted ones. Both the linear and RBF kernels establish similar starting paths. They manage to track general price movements with only a moderate degree of error. In contrast, the polynomial kernel completely flatlines around IDR 4,000 during the pre-intervention phase and only wakes up to catch the final structural break. This failure pushes its baseline training MAPE to 6.069%, easily doubling the error rates of the better-performing kernels. The sigmoid kernel performs even worse out of the gate. Its untuned training MAPE skyrockets to 33.263%. This extreme error rate proves the sigmoid kernel is highly sensitive to hyperparameter settings and requires systematic tuning before it can yield useful predictions.</w:t>
      </w:r>
      <w:r w:rsidR="002442AD" w:rsidRPr="002442AD">
        <w:rPr>
          <w:rFonts w:ascii="Century Gothic" w:eastAsia="Century Gothic" w:hAnsi="Century Gothic" w:cs="Century Gothic"/>
          <w:noProof/>
          <w:sz w:val="18"/>
          <w:szCs w:val="18"/>
        </w:rPr>
        <w:t xml:space="preserve"> </w:t>
      </w:r>
    </w:p>
    <w:p w14:paraId="749EEB71" w14:textId="7A22C44B" w:rsidR="00AD70D0" w:rsidRDefault="008A015B" w:rsidP="006E2E32">
      <w:pPr>
        <w:spacing w:after="40"/>
        <w:jc w:val="center"/>
      </w:pPr>
      <w:r>
        <w:rPr>
          <w:noProof/>
        </w:rPr>
        <w:drawing>
          <wp:inline distT="0" distB="0" distL="0" distR="0" wp14:anchorId="22D1719A" wp14:editId="24A9C1FA">
            <wp:extent cx="2967486" cy="2967486"/>
            <wp:effectExtent l="0" t="0" r="4445" b="4445"/>
            <wp:docPr id="2021411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1451" name="Picture 20214114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67486" cy="2967486"/>
                    </a:xfrm>
                    <a:prstGeom prst="rect">
                      <a:avLst/>
                    </a:prstGeom>
                  </pic:spPr>
                </pic:pic>
              </a:graphicData>
            </a:graphic>
          </wp:inline>
        </w:drawing>
      </w:r>
    </w:p>
    <w:p w14:paraId="3E40085A" w14:textId="09CC67BC" w:rsidR="00AD70D0" w:rsidRDefault="5EC82F99" w:rsidP="006E2E32">
      <w:pPr>
        <w:spacing w:after="40"/>
        <w:jc w:val="center"/>
      </w:pPr>
      <w:r w:rsidRPr="00C46C46">
        <w:rPr>
          <w:rFonts w:ascii="Century Gothic" w:eastAsia="Century Gothic" w:hAnsi="Century Gothic" w:cs="Century Gothic"/>
          <w:b/>
          <w:bCs/>
          <w:sz w:val="18"/>
          <w:szCs w:val="18"/>
        </w:rPr>
        <w:t xml:space="preserve">Figure </w:t>
      </w:r>
      <w:r w:rsidR="00BB3BD8">
        <w:rPr>
          <w:rFonts w:ascii="Century Gothic" w:eastAsia="Century Gothic" w:hAnsi="Century Gothic" w:cs="Century Gothic"/>
          <w:b/>
          <w:bCs/>
          <w:sz w:val="18"/>
          <w:szCs w:val="18"/>
        </w:rPr>
        <w:t>1</w:t>
      </w:r>
      <w:r w:rsidR="003348B3">
        <w:rPr>
          <w:rFonts w:ascii="Century Gothic" w:eastAsia="Century Gothic" w:hAnsi="Century Gothic" w:cs="Century Gothic"/>
          <w:b/>
          <w:bCs/>
          <w:sz w:val="18"/>
          <w:szCs w:val="18"/>
        </w:rPr>
        <w:t>2</w:t>
      </w:r>
      <w:r w:rsidR="00BB3BD8">
        <w:rPr>
          <w:rFonts w:ascii="Century Gothic" w:eastAsia="Century Gothic" w:hAnsi="Century Gothic" w:cs="Century Gothic"/>
          <w:b/>
          <w:bCs/>
          <w:sz w:val="18"/>
          <w:szCs w:val="18"/>
        </w:rPr>
        <w:t>.</w:t>
      </w:r>
      <w:r w:rsidRPr="5EC82F99">
        <w:rPr>
          <w:rFonts w:ascii="Century Gothic" w:eastAsia="Century Gothic" w:hAnsi="Century Gothic" w:cs="Century Gothic"/>
          <w:sz w:val="18"/>
          <w:szCs w:val="18"/>
        </w:rPr>
        <w:t xml:space="preserve"> </w:t>
      </w:r>
      <w:r w:rsidR="005C64E2" w:rsidRPr="005C64E2">
        <w:rPr>
          <w:rFonts w:ascii="Century Gothic" w:eastAsia="Century Gothic" w:hAnsi="Century Gothic" w:cs="Century Gothic"/>
          <w:sz w:val="18"/>
          <w:szCs w:val="18"/>
        </w:rPr>
        <w:t>Baseline training trajectories across the four evaluated SVRX kernels.</w:t>
      </w:r>
    </w:p>
    <w:p w14:paraId="19357F60" w14:textId="717816F5" w:rsidR="0059438C" w:rsidRDefault="0059438C" w:rsidP="006E2E32">
      <w:pPr>
        <w:ind w:firstLine="284"/>
        <w:rPr>
          <w:rFonts w:ascii="Century Gothic" w:eastAsia="Century Gothic" w:hAnsi="Century Gothic" w:cs="Century Gothic"/>
          <w:sz w:val="18"/>
          <w:szCs w:val="18"/>
        </w:rPr>
      </w:pPr>
      <w:r w:rsidRPr="0059438C">
        <w:rPr>
          <w:rFonts w:ascii="Century Gothic" w:eastAsia="Century Gothic" w:hAnsi="Century Gothic" w:cs="Century Gothic"/>
          <w:sz w:val="18"/>
          <w:szCs w:val="18"/>
        </w:rPr>
        <w:t xml:space="preserve">After completing the baseline screening, we optimized all four kernels using a standard grid search. We locked a random seed at 12345 and applied 10-fold cross-validation to guarantee reproducibility. The search algorithm focused exclusively on minimizing the cross-validation mean squared error (CV-MSE). Table </w:t>
      </w:r>
      <w:r w:rsidR="00947E0D">
        <w:rPr>
          <w:rFonts w:ascii="Century Gothic" w:eastAsia="Century Gothic" w:hAnsi="Century Gothic" w:cs="Century Gothic"/>
          <w:sz w:val="18"/>
          <w:szCs w:val="18"/>
        </w:rPr>
        <w:t>9</w:t>
      </w:r>
      <w:r w:rsidRPr="0059438C">
        <w:rPr>
          <w:rFonts w:ascii="Century Gothic" w:eastAsia="Century Gothic" w:hAnsi="Century Gothic" w:cs="Century Gothic"/>
          <w:sz w:val="18"/>
          <w:szCs w:val="18"/>
        </w:rPr>
        <w:t xml:space="preserve"> lists the final optimized hyperparameters, the lowest CV-MSE scores achieved, and the support vector counts for each kernel. Figure </w:t>
      </w:r>
      <w:r w:rsidR="00E47FAE">
        <w:rPr>
          <w:rFonts w:ascii="Century Gothic" w:eastAsia="Century Gothic" w:hAnsi="Century Gothic" w:cs="Century Gothic"/>
          <w:sz w:val="18"/>
          <w:szCs w:val="18"/>
        </w:rPr>
        <w:t>13</w:t>
      </w:r>
      <w:r w:rsidRPr="0059438C">
        <w:rPr>
          <w:rFonts w:ascii="Century Gothic" w:eastAsia="Century Gothic" w:hAnsi="Century Gothic" w:cs="Century Gothic"/>
          <w:sz w:val="18"/>
          <w:szCs w:val="18"/>
        </w:rPr>
        <w:t xml:space="preserve"> visually maps out the final tuning surface for the sigmoid kernel.</w:t>
      </w:r>
    </w:p>
    <w:p w14:paraId="57AE6900" w14:textId="77777777" w:rsidR="00E00D7C" w:rsidRPr="0059438C" w:rsidRDefault="00E00D7C" w:rsidP="006E2E32">
      <w:pPr>
        <w:ind w:firstLine="284"/>
        <w:rPr>
          <w:rFonts w:ascii="Century Gothic" w:eastAsia="Century Gothic" w:hAnsi="Century Gothic" w:cs="Century Gothic"/>
          <w:sz w:val="18"/>
          <w:szCs w:val="18"/>
        </w:rPr>
      </w:pPr>
    </w:p>
    <w:p w14:paraId="0B22824C" w14:textId="6C96D5FC" w:rsidR="00AD70D0" w:rsidRDefault="5EC82F99" w:rsidP="006E2E32">
      <w:pPr>
        <w:jc w:val="center"/>
      </w:pPr>
      <w:r w:rsidRPr="7F6E349C">
        <w:rPr>
          <w:rFonts w:ascii="Century Gothic" w:eastAsia="Century Gothic" w:hAnsi="Century Gothic" w:cs="Century Gothic"/>
          <w:b/>
          <w:bCs/>
          <w:sz w:val="18"/>
          <w:szCs w:val="18"/>
        </w:rPr>
        <w:t xml:space="preserve">Table </w:t>
      </w:r>
      <w:r w:rsidR="00DA0529">
        <w:rPr>
          <w:rFonts w:ascii="Century Gothic" w:eastAsia="Century Gothic" w:hAnsi="Century Gothic" w:cs="Century Gothic"/>
          <w:b/>
          <w:bCs/>
          <w:sz w:val="18"/>
          <w:szCs w:val="18"/>
        </w:rPr>
        <w:t>8</w:t>
      </w:r>
      <w:r w:rsidR="001E78CA">
        <w:rPr>
          <w:rFonts w:ascii="Century Gothic" w:eastAsia="Century Gothic" w:hAnsi="Century Gothic" w:cs="Century Gothic"/>
          <w:b/>
          <w:bCs/>
          <w:sz w:val="18"/>
          <w:szCs w:val="18"/>
        </w:rPr>
        <w:t>.</w:t>
      </w:r>
      <w:r w:rsidRPr="7F6E349C">
        <w:rPr>
          <w:rFonts w:ascii="Century Gothic" w:eastAsia="Century Gothic" w:hAnsi="Century Gothic" w:cs="Century Gothic"/>
          <w:b/>
          <w:bCs/>
          <w:sz w:val="18"/>
          <w:szCs w:val="18"/>
        </w:rPr>
        <w:t xml:space="preserve"> </w:t>
      </w:r>
      <w:r w:rsidR="0055721B" w:rsidRPr="0055721B">
        <w:rPr>
          <w:rFonts w:ascii="Century Gothic" w:eastAsia="Century Gothic" w:hAnsi="Century Gothic" w:cs="Century Gothic"/>
          <w:sz w:val="18"/>
          <w:szCs w:val="18"/>
        </w:rPr>
        <w:t>Optimized hyperparameters and cross-validation results for the SVRX kernels.</w:t>
      </w:r>
    </w:p>
    <w:tbl>
      <w:tblPr>
        <w:tblW w:w="4997" w:type="dxa"/>
        <w:tblBorders>
          <w:top w:val="single" w:sz="4" w:space="0" w:color="auto"/>
          <w:bottom w:val="single" w:sz="4" w:space="0" w:color="auto"/>
        </w:tblBorders>
        <w:tblLook w:val="06A0" w:firstRow="1" w:lastRow="0" w:firstColumn="1" w:lastColumn="0" w:noHBand="1" w:noVBand="1"/>
      </w:tblPr>
      <w:tblGrid>
        <w:gridCol w:w="1157"/>
        <w:gridCol w:w="749"/>
        <w:gridCol w:w="503"/>
        <w:gridCol w:w="654"/>
        <w:gridCol w:w="433"/>
        <w:gridCol w:w="998"/>
        <w:gridCol w:w="503"/>
      </w:tblGrid>
      <w:tr w:rsidR="00DA780F" w14:paraId="1E04477F" w14:textId="77777777" w:rsidTr="004253D2">
        <w:trPr>
          <w:cantSplit/>
          <w:trHeight w:val="1134"/>
        </w:trPr>
        <w:tc>
          <w:tcPr>
            <w:tcW w:w="1157" w:type="dxa"/>
            <w:tcBorders>
              <w:top w:val="single" w:sz="4" w:space="0" w:color="auto"/>
              <w:bottom w:val="single" w:sz="4" w:space="0" w:color="auto"/>
            </w:tcBorders>
            <w:shd w:val="clear" w:color="auto" w:fill="FFFFFF" w:themeFill="background1"/>
            <w:tcMar>
              <w:top w:w="60" w:type="dxa"/>
              <w:bottom w:w="60" w:type="dxa"/>
              <w:right w:w="100" w:type="dxa"/>
            </w:tcMar>
            <w:vAlign w:val="center"/>
          </w:tcPr>
          <w:p w14:paraId="61FFD77E" w14:textId="071E42A8" w:rsidR="7F6E349C" w:rsidRDefault="7F6E349C" w:rsidP="006E2E32">
            <w:pP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Kernel</w:t>
            </w:r>
          </w:p>
        </w:tc>
        <w:tc>
          <w:tcPr>
            <w:tcW w:w="749"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08687B19" w14:textId="54A25090" w:rsidR="7F6E349C" w:rsidRDefault="7F6E349C" w:rsidP="006E2E32">
            <w:pPr>
              <w:ind w:left="113" w:right="113"/>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ε</w:t>
            </w:r>
          </w:p>
        </w:tc>
        <w:tc>
          <w:tcPr>
            <w:tcW w:w="503"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68CF27EB" w14:textId="52449D7E" w:rsidR="7F6E349C" w:rsidRDefault="7F6E349C" w:rsidP="006E2E32">
            <w:pPr>
              <w:ind w:left="113" w:right="113"/>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C</w:t>
            </w:r>
          </w:p>
        </w:tc>
        <w:tc>
          <w:tcPr>
            <w:tcW w:w="654"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534638D2" w14:textId="1E828243" w:rsidR="7F6E349C" w:rsidRDefault="7F6E349C" w:rsidP="006E2E32">
            <w:pPr>
              <w:ind w:left="113" w:right="113"/>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γ</w:t>
            </w:r>
          </w:p>
        </w:tc>
        <w:tc>
          <w:tcPr>
            <w:tcW w:w="433"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447A4899" w14:textId="799D33F5" w:rsidR="7F6E349C" w:rsidRDefault="7F6E349C" w:rsidP="006E2E32">
            <w:pPr>
              <w:ind w:left="113" w:right="113"/>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Degree</w:t>
            </w:r>
          </w:p>
        </w:tc>
        <w:tc>
          <w:tcPr>
            <w:tcW w:w="998"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211008F2" w14:textId="13FEBC47" w:rsidR="7F6E349C" w:rsidRDefault="7F6E349C" w:rsidP="006E2E32">
            <w:pPr>
              <w:ind w:left="113" w:right="113"/>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CV-MSE</w:t>
            </w:r>
          </w:p>
        </w:tc>
        <w:tc>
          <w:tcPr>
            <w:tcW w:w="503"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1B42408A" w14:textId="080FC8CD" w:rsidR="7F6E349C" w:rsidRDefault="7F6E349C" w:rsidP="006E2E32">
            <w:pPr>
              <w:ind w:left="113" w:right="113"/>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Support Vectors (n/142)</w:t>
            </w:r>
          </w:p>
        </w:tc>
      </w:tr>
      <w:tr w:rsidR="00DA780F" w14:paraId="7549CABD" w14:textId="77777777" w:rsidTr="004253D2">
        <w:trPr>
          <w:trHeight w:val="300"/>
        </w:trPr>
        <w:tc>
          <w:tcPr>
            <w:tcW w:w="1157" w:type="dxa"/>
            <w:tcBorders>
              <w:top w:val="single" w:sz="4" w:space="0" w:color="auto"/>
            </w:tcBorders>
            <w:shd w:val="clear" w:color="auto" w:fill="FFFFFF" w:themeFill="background1"/>
            <w:tcMar>
              <w:top w:w="60" w:type="dxa"/>
              <w:bottom w:w="60" w:type="dxa"/>
              <w:right w:w="100" w:type="dxa"/>
            </w:tcMar>
            <w:vAlign w:val="center"/>
          </w:tcPr>
          <w:p w14:paraId="49505A9A" w14:textId="0D83206A" w:rsidR="7F6E349C" w:rsidRDefault="7F6E349C" w:rsidP="006E2E32">
            <w:pP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Linear</w:t>
            </w:r>
          </w:p>
        </w:tc>
        <w:tc>
          <w:tcPr>
            <w:tcW w:w="749" w:type="dxa"/>
            <w:tcBorders>
              <w:top w:val="single" w:sz="4" w:space="0" w:color="auto"/>
            </w:tcBorders>
            <w:shd w:val="clear" w:color="auto" w:fill="FFFFFF" w:themeFill="background1"/>
            <w:tcMar>
              <w:top w:w="60" w:type="dxa"/>
              <w:left w:w="100" w:type="dxa"/>
              <w:bottom w:w="60" w:type="dxa"/>
              <w:right w:w="100" w:type="dxa"/>
            </w:tcMar>
            <w:vAlign w:val="center"/>
          </w:tcPr>
          <w:p w14:paraId="07E39982" w14:textId="1ED04875"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0.0018</w:t>
            </w:r>
          </w:p>
        </w:tc>
        <w:tc>
          <w:tcPr>
            <w:tcW w:w="503" w:type="dxa"/>
            <w:tcBorders>
              <w:top w:val="single" w:sz="4" w:space="0" w:color="auto"/>
            </w:tcBorders>
            <w:shd w:val="clear" w:color="auto" w:fill="FFFFFF" w:themeFill="background1"/>
            <w:tcMar>
              <w:top w:w="60" w:type="dxa"/>
              <w:left w:w="100" w:type="dxa"/>
              <w:bottom w:w="60" w:type="dxa"/>
              <w:right w:w="100" w:type="dxa"/>
            </w:tcMar>
            <w:vAlign w:val="center"/>
          </w:tcPr>
          <w:p w14:paraId="392E1151" w14:textId="51EAA2DD"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700</w:t>
            </w:r>
          </w:p>
        </w:tc>
        <w:tc>
          <w:tcPr>
            <w:tcW w:w="654" w:type="dxa"/>
            <w:tcBorders>
              <w:top w:val="single" w:sz="4" w:space="0" w:color="auto"/>
            </w:tcBorders>
            <w:shd w:val="clear" w:color="auto" w:fill="FFFFFF" w:themeFill="background1"/>
            <w:tcMar>
              <w:top w:w="60" w:type="dxa"/>
              <w:left w:w="100" w:type="dxa"/>
              <w:bottom w:w="60" w:type="dxa"/>
              <w:right w:w="100" w:type="dxa"/>
            </w:tcMar>
            <w:vAlign w:val="center"/>
          </w:tcPr>
          <w:p w14:paraId="1E4CBA47" w14:textId="46458872"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w:t>
            </w:r>
          </w:p>
        </w:tc>
        <w:tc>
          <w:tcPr>
            <w:tcW w:w="433" w:type="dxa"/>
            <w:tcBorders>
              <w:top w:val="single" w:sz="4" w:space="0" w:color="auto"/>
            </w:tcBorders>
            <w:shd w:val="clear" w:color="auto" w:fill="FFFFFF" w:themeFill="background1"/>
            <w:tcMar>
              <w:top w:w="60" w:type="dxa"/>
              <w:left w:w="100" w:type="dxa"/>
              <w:bottom w:w="60" w:type="dxa"/>
              <w:right w:w="100" w:type="dxa"/>
            </w:tcMar>
            <w:vAlign w:val="center"/>
          </w:tcPr>
          <w:p w14:paraId="39342E01" w14:textId="5372937B"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w:t>
            </w:r>
          </w:p>
        </w:tc>
        <w:tc>
          <w:tcPr>
            <w:tcW w:w="998" w:type="dxa"/>
            <w:tcBorders>
              <w:top w:val="single" w:sz="4" w:space="0" w:color="auto"/>
            </w:tcBorders>
            <w:shd w:val="clear" w:color="auto" w:fill="FFFFFF" w:themeFill="background1"/>
            <w:tcMar>
              <w:top w:w="60" w:type="dxa"/>
              <w:left w:w="100" w:type="dxa"/>
              <w:bottom w:w="60" w:type="dxa"/>
              <w:right w:w="100" w:type="dxa"/>
            </w:tcMar>
            <w:vAlign w:val="center"/>
          </w:tcPr>
          <w:p w14:paraId="2E92801E" w14:textId="5271D1E8"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20,174.9</w:t>
            </w:r>
          </w:p>
        </w:tc>
        <w:tc>
          <w:tcPr>
            <w:tcW w:w="503" w:type="dxa"/>
            <w:tcBorders>
              <w:top w:val="single" w:sz="4" w:space="0" w:color="auto"/>
            </w:tcBorders>
            <w:shd w:val="clear" w:color="auto" w:fill="FFFFFF" w:themeFill="background1"/>
            <w:tcMar>
              <w:top w:w="60" w:type="dxa"/>
              <w:left w:w="100" w:type="dxa"/>
              <w:bottom w:w="60" w:type="dxa"/>
              <w:right w:w="100" w:type="dxa"/>
            </w:tcMar>
            <w:vAlign w:val="center"/>
          </w:tcPr>
          <w:p w14:paraId="0BB5C7E6" w14:textId="295CF9D3"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140</w:t>
            </w:r>
          </w:p>
        </w:tc>
      </w:tr>
      <w:tr w:rsidR="00DA780F" w14:paraId="4B67671A" w14:textId="77777777" w:rsidTr="004253D2">
        <w:trPr>
          <w:trHeight w:val="300"/>
        </w:trPr>
        <w:tc>
          <w:tcPr>
            <w:tcW w:w="1157" w:type="dxa"/>
            <w:shd w:val="clear" w:color="auto" w:fill="FFFFFF" w:themeFill="background1"/>
            <w:tcMar>
              <w:top w:w="60" w:type="dxa"/>
              <w:bottom w:w="60" w:type="dxa"/>
              <w:right w:w="100" w:type="dxa"/>
            </w:tcMar>
            <w:vAlign w:val="center"/>
          </w:tcPr>
          <w:p w14:paraId="54955E85" w14:textId="7A7C329A" w:rsidR="7F6E349C" w:rsidRDefault="7F6E349C" w:rsidP="006E2E32">
            <w:pP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Radial (RBF)</w:t>
            </w:r>
          </w:p>
        </w:tc>
        <w:tc>
          <w:tcPr>
            <w:tcW w:w="749" w:type="dxa"/>
            <w:shd w:val="clear" w:color="auto" w:fill="FFFFFF" w:themeFill="background1"/>
            <w:tcMar>
              <w:top w:w="60" w:type="dxa"/>
              <w:left w:w="100" w:type="dxa"/>
              <w:bottom w:w="60" w:type="dxa"/>
              <w:right w:w="100" w:type="dxa"/>
            </w:tcMar>
            <w:vAlign w:val="center"/>
          </w:tcPr>
          <w:p w14:paraId="472BF398" w14:textId="134940E3"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0.0451</w:t>
            </w:r>
          </w:p>
        </w:tc>
        <w:tc>
          <w:tcPr>
            <w:tcW w:w="503" w:type="dxa"/>
            <w:shd w:val="clear" w:color="auto" w:fill="FFFFFF" w:themeFill="background1"/>
            <w:tcMar>
              <w:top w:w="60" w:type="dxa"/>
              <w:left w:w="100" w:type="dxa"/>
              <w:bottom w:w="60" w:type="dxa"/>
              <w:right w:w="100" w:type="dxa"/>
            </w:tcMar>
            <w:vAlign w:val="center"/>
          </w:tcPr>
          <w:p w14:paraId="490EE08D" w14:textId="2585A6BA"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160</w:t>
            </w:r>
          </w:p>
        </w:tc>
        <w:tc>
          <w:tcPr>
            <w:tcW w:w="654" w:type="dxa"/>
            <w:shd w:val="clear" w:color="auto" w:fill="FFFFFF" w:themeFill="background1"/>
            <w:tcMar>
              <w:top w:w="60" w:type="dxa"/>
              <w:left w:w="100" w:type="dxa"/>
              <w:bottom w:w="60" w:type="dxa"/>
              <w:right w:w="100" w:type="dxa"/>
            </w:tcMar>
            <w:vAlign w:val="center"/>
          </w:tcPr>
          <w:p w14:paraId="302FCE4C" w14:textId="6553219A"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5.00 × 10⁻⁴</w:t>
            </w:r>
          </w:p>
        </w:tc>
        <w:tc>
          <w:tcPr>
            <w:tcW w:w="433" w:type="dxa"/>
            <w:shd w:val="clear" w:color="auto" w:fill="FFFFFF" w:themeFill="background1"/>
            <w:tcMar>
              <w:top w:w="60" w:type="dxa"/>
              <w:left w:w="100" w:type="dxa"/>
              <w:bottom w:w="60" w:type="dxa"/>
              <w:right w:w="100" w:type="dxa"/>
            </w:tcMar>
            <w:vAlign w:val="center"/>
          </w:tcPr>
          <w:p w14:paraId="13FC8084" w14:textId="6DA15318"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w:t>
            </w:r>
          </w:p>
        </w:tc>
        <w:tc>
          <w:tcPr>
            <w:tcW w:w="998" w:type="dxa"/>
            <w:shd w:val="clear" w:color="auto" w:fill="FFFFFF" w:themeFill="background1"/>
            <w:tcMar>
              <w:top w:w="60" w:type="dxa"/>
              <w:left w:w="100" w:type="dxa"/>
              <w:bottom w:w="60" w:type="dxa"/>
              <w:right w:w="100" w:type="dxa"/>
            </w:tcMar>
            <w:vAlign w:val="center"/>
          </w:tcPr>
          <w:p w14:paraId="761C19E3" w14:textId="27682758"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20,079.1</w:t>
            </w:r>
          </w:p>
        </w:tc>
        <w:tc>
          <w:tcPr>
            <w:tcW w:w="503" w:type="dxa"/>
            <w:shd w:val="clear" w:color="auto" w:fill="FFFFFF" w:themeFill="background1"/>
            <w:tcMar>
              <w:top w:w="60" w:type="dxa"/>
              <w:left w:w="100" w:type="dxa"/>
              <w:bottom w:w="60" w:type="dxa"/>
              <w:right w:w="100" w:type="dxa"/>
            </w:tcMar>
            <w:vAlign w:val="center"/>
          </w:tcPr>
          <w:p w14:paraId="66032215" w14:textId="2C5CFA00"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108</w:t>
            </w:r>
          </w:p>
        </w:tc>
      </w:tr>
      <w:tr w:rsidR="00DA780F" w14:paraId="33D138C6" w14:textId="77777777" w:rsidTr="004253D2">
        <w:trPr>
          <w:trHeight w:val="300"/>
        </w:trPr>
        <w:tc>
          <w:tcPr>
            <w:tcW w:w="1157" w:type="dxa"/>
            <w:shd w:val="clear" w:color="auto" w:fill="FFFFFF" w:themeFill="background1"/>
            <w:tcMar>
              <w:top w:w="60" w:type="dxa"/>
              <w:bottom w:w="60" w:type="dxa"/>
              <w:right w:w="100" w:type="dxa"/>
            </w:tcMar>
            <w:vAlign w:val="center"/>
          </w:tcPr>
          <w:p w14:paraId="3DFED4CA" w14:textId="697A003D" w:rsidR="7F6E349C" w:rsidRDefault="7F6E349C" w:rsidP="006E2E32">
            <w:pP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Sigmoid (final)</w:t>
            </w:r>
          </w:p>
        </w:tc>
        <w:tc>
          <w:tcPr>
            <w:tcW w:w="749" w:type="dxa"/>
            <w:shd w:val="clear" w:color="auto" w:fill="FFFFFF" w:themeFill="background1"/>
            <w:tcMar>
              <w:top w:w="60" w:type="dxa"/>
              <w:left w:w="100" w:type="dxa"/>
              <w:bottom w:w="60" w:type="dxa"/>
              <w:right w:w="100" w:type="dxa"/>
            </w:tcMar>
            <w:vAlign w:val="center"/>
          </w:tcPr>
          <w:p w14:paraId="1077A6C1" w14:textId="421821BF"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0.016</w:t>
            </w:r>
          </w:p>
        </w:tc>
        <w:tc>
          <w:tcPr>
            <w:tcW w:w="503" w:type="dxa"/>
            <w:shd w:val="clear" w:color="auto" w:fill="FFFFFF" w:themeFill="background1"/>
            <w:tcMar>
              <w:top w:w="60" w:type="dxa"/>
              <w:left w:w="100" w:type="dxa"/>
              <w:bottom w:w="60" w:type="dxa"/>
              <w:right w:w="100" w:type="dxa"/>
            </w:tcMar>
            <w:vAlign w:val="center"/>
          </w:tcPr>
          <w:p w14:paraId="516C0FE2" w14:textId="1A78143A"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124</w:t>
            </w:r>
          </w:p>
        </w:tc>
        <w:tc>
          <w:tcPr>
            <w:tcW w:w="654" w:type="dxa"/>
            <w:shd w:val="clear" w:color="auto" w:fill="FFFFFF" w:themeFill="background1"/>
            <w:tcMar>
              <w:top w:w="60" w:type="dxa"/>
              <w:left w:w="100" w:type="dxa"/>
              <w:bottom w:w="60" w:type="dxa"/>
              <w:right w:w="100" w:type="dxa"/>
            </w:tcMar>
            <w:vAlign w:val="center"/>
          </w:tcPr>
          <w:p w14:paraId="35B59989" w14:textId="047070FC"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0.011</w:t>
            </w:r>
          </w:p>
        </w:tc>
        <w:tc>
          <w:tcPr>
            <w:tcW w:w="433" w:type="dxa"/>
            <w:shd w:val="clear" w:color="auto" w:fill="FFFFFF" w:themeFill="background1"/>
            <w:tcMar>
              <w:top w:w="60" w:type="dxa"/>
              <w:left w:w="100" w:type="dxa"/>
              <w:bottom w:w="60" w:type="dxa"/>
              <w:right w:w="100" w:type="dxa"/>
            </w:tcMar>
            <w:vAlign w:val="center"/>
          </w:tcPr>
          <w:p w14:paraId="496037EC" w14:textId="2C15022D"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w:t>
            </w:r>
          </w:p>
        </w:tc>
        <w:tc>
          <w:tcPr>
            <w:tcW w:w="998" w:type="dxa"/>
            <w:shd w:val="clear" w:color="auto" w:fill="FFFFFF" w:themeFill="background1"/>
            <w:tcMar>
              <w:top w:w="60" w:type="dxa"/>
              <w:left w:w="100" w:type="dxa"/>
              <w:bottom w:w="60" w:type="dxa"/>
              <w:right w:w="100" w:type="dxa"/>
            </w:tcMar>
            <w:vAlign w:val="center"/>
          </w:tcPr>
          <w:p w14:paraId="5A43F261" w14:textId="6BE82366"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18,309.5</w:t>
            </w:r>
          </w:p>
        </w:tc>
        <w:tc>
          <w:tcPr>
            <w:tcW w:w="503" w:type="dxa"/>
            <w:shd w:val="clear" w:color="auto" w:fill="FFFFFF" w:themeFill="background1"/>
            <w:tcMar>
              <w:top w:w="60" w:type="dxa"/>
              <w:left w:w="100" w:type="dxa"/>
              <w:bottom w:w="60" w:type="dxa"/>
              <w:right w:w="100" w:type="dxa"/>
            </w:tcMar>
            <w:vAlign w:val="center"/>
          </w:tcPr>
          <w:p w14:paraId="5AE9C0D0" w14:textId="28AC59DD"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129</w:t>
            </w:r>
          </w:p>
        </w:tc>
      </w:tr>
      <w:tr w:rsidR="00DA780F" w14:paraId="75A104A5" w14:textId="77777777" w:rsidTr="004253D2">
        <w:trPr>
          <w:trHeight w:val="300"/>
        </w:trPr>
        <w:tc>
          <w:tcPr>
            <w:tcW w:w="1157" w:type="dxa"/>
            <w:shd w:val="clear" w:color="auto" w:fill="FFFFFF" w:themeFill="background1"/>
            <w:tcMar>
              <w:top w:w="60" w:type="dxa"/>
              <w:bottom w:w="60" w:type="dxa"/>
              <w:right w:w="100" w:type="dxa"/>
            </w:tcMar>
            <w:vAlign w:val="center"/>
          </w:tcPr>
          <w:p w14:paraId="1AC62B26" w14:textId="733890E3" w:rsidR="7F6E349C" w:rsidRDefault="7F6E349C" w:rsidP="006E2E32">
            <w:pP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Polynomial</w:t>
            </w:r>
          </w:p>
        </w:tc>
        <w:tc>
          <w:tcPr>
            <w:tcW w:w="749" w:type="dxa"/>
            <w:shd w:val="clear" w:color="auto" w:fill="FFFFFF" w:themeFill="background1"/>
            <w:tcMar>
              <w:top w:w="60" w:type="dxa"/>
              <w:left w:w="100" w:type="dxa"/>
              <w:bottom w:w="60" w:type="dxa"/>
              <w:right w:w="100" w:type="dxa"/>
            </w:tcMar>
            <w:vAlign w:val="center"/>
          </w:tcPr>
          <w:p w14:paraId="35557196" w14:textId="06E37A71"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0.130</w:t>
            </w:r>
          </w:p>
        </w:tc>
        <w:tc>
          <w:tcPr>
            <w:tcW w:w="503" w:type="dxa"/>
            <w:shd w:val="clear" w:color="auto" w:fill="FFFFFF" w:themeFill="background1"/>
            <w:tcMar>
              <w:top w:w="60" w:type="dxa"/>
              <w:left w:w="100" w:type="dxa"/>
              <w:bottom w:w="60" w:type="dxa"/>
              <w:right w:w="100" w:type="dxa"/>
            </w:tcMar>
            <w:vAlign w:val="center"/>
          </w:tcPr>
          <w:p w14:paraId="108E6FFA" w14:textId="3EEDE9A7"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19</w:t>
            </w:r>
          </w:p>
        </w:tc>
        <w:tc>
          <w:tcPr>
            <w:tcW w:w="654" w:type="dxa"/>
            <w:shd w:val="clear" w:color="auto" w:fill="FFFFFF" w:themeFill="background1"/>
            <w:tcMar>
              <w:top w:w="60" w:type="dxa"/>
              <w:left w:w="100" w:type="dxa"/>
              <w:bottom w:w="60" w:type="dxa"/>
              <w:right w:w="100" w:type="dxa"/>
            </w:tcMar>
            <w:vAlign w:val="center"/>
          </w:tcPr>
          <w:p w14:paraId="51CA17AA" w14:textId="1DBD0F04"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0.115</w:t>
            </w:r>
          </w:p>
        </w:tc>
        <w:tc>
          <w:tcPr>
            <w:tcW w:w="433" w:type="dxa"/>
            <w:shd w:val="clear" w:color="auto" w:fill="FFFFFF" w:themeFill="background1"/>
            <w:tcMar>
              <w:top w:w="60" w:type="dxa"/>
              <w:left w:w="100" w:type="dxa"/>
              <w:bottom w:w="60" w:type="dxa"/>
              <w:right w:w="100" w:type="dxa"/>
            </w:tcMar>
            <w:vAlign w:val="center"/>
          </w:tcPr>
          <w:p w14:paraId="16F966B5" w14:textId="51A221D2"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3</w:t>
            </w:r>
          </w:p>
        </w:tc>
        <w:tc>
          <w:tcPr>
            <w:tcW w:w="998" w:type="dxa"/>
            <w:shd w:val="clear" w:color="auto" w:fill="FFFFFF" w:themeFill="background1"/>
            <w:tcMar>
              <w:top w:w="60" w:type="dxa"/>
              <w:left w:w="100" w:type="dxa"/>
              <w:bottom w:w="60" w:type="dxa"/>
              <w:right w:w="100" w:type="dxa"/>
            </w:tcMar>
            <w:vAlign w:val="center"/>
          </w:tcPr>
          <w:p w14:paraId="39FAF7F6" w14:textId="3D5CED95"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106,664.2</w:t>
            </w:r>
          </w:p>
        </w:tc>
        <w:tc>
          <w:tcPr>
            <w:tcW w:w="503" w:type="dxa"/>
            <w:shd w:val="clear" w:color="auto" w:fill="FFFFFF" w:themeFill="background1"/>
            <w:tcMar>
              <w:top w:w="60" w:type="dxa"/>
              <w:left w:w="100" w:type="dxa"/>
              <w:bottom w:w="60" w:type="dxa"/>
              <w:right w:w="100" w:type="dxa"/>
            </w:tcMar>
            <w:vAlign w:val="center"/>
          </w:tcPr>
          <w:p w14:paraId="28904C9F" w14:textId="74FDCED4"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w:t>
            </w:r>
          </w:p>
        </w:tc>
      </w:tr>
    </w:tbl>
    <w:p w14:paraId="3A7705ED" w14:textId="77777777" w:rsidR="00DD7990" w:rsidRDefault="00DD7990" w:rsidP="006E2E32">
      <w:pPr>
        <w:ind w:firstLine="284"/>
        <w:rPr>
          <w:rFonts w:ascii="Century Gothic" w:eastAsia="Century Gothic" w:hAnsi="Century Gothic" w:cs="Century Gothic"/>
          <w:sz w:val="18"/>
          <w:szCs w:val="18"/>
        </w:rPr>
      </w:pPr>
    </w:p>
    <w:p w14:paraId="4DBEFF05" w14:textId="64660FBF" w:rsidR="00E00D7C" w:rsidRDefault="004253D2" w:rsidP="006E2E32">
      <w:pPr>
        <w:ind w:firstLine="284"/>
        <w:rPr>
          <w:rFonts w:ascii="Century Gothic" w:eastAsia="Century Gothic" w:hAnsi="Century Gothic" w:cs="Century Gothic"/>
          <w:sz w:val="18"/>
          <w:szCs w:val="18"/>
        </w:rPr>
      </w:pPr>
      <w:r w:rsidRPr="004253D2">
        <w:rPr>
          <w:rFonts w:ascii="Century Gothic" w:eastAsia="Century Gothic" w:hAnsi="Century Gothic" w:cs="Century Gothic"/>
          <w:sz w:val="18"/>
          <w:szCs w:val="18"/>
        </w:rPr>
        <w:t>The optimized parameters in Table</w:t>
      </w:r>
      <w:r>
        <w:rPr>
          <w:rFonts w:ascii="Century Gothic" w:eastAsia="Century Gothic" w:hAnsi="Century Gothic" w:cs="Century Gothic"/>
          <w:sz w:val="18"/>
          <w:szCs w:val="18"/>
        </w:rPr>
        <w:t xml:space="preserve"> </w:t>
      </w:r>
      <w:r w:rsidR="00DA0529">
        <w:rPr>
          <w:rFonts w:ascii="Century Gothic" w:eastAsia="Century Gothic" w:hAnsi="Century Gothic" w:cs="Century Gothic"/>
          <w:sz w:val="18"/>
          <w:szCs w:val="18"/>
        </w:rPr>
        <w:t>8</w:t>
      </w:r>
      <w:r w:rsidRPr="004253D2">
        <w:rPr>
          <w:rFonts w:ascii="Century Gothic" w:eastAsia="Century Gothic" w:hAnsi="Century Gothic" w:cs="Century Gothic"/>
          <w:sz w:val="18"/>
          <w:szCs w:val="18"/>
        </w:rPr>
        <w:t xml:space="preserve"> reveal several important patterns. The linear kernel demands an unusually </w:t>
      </w:r>
      <w:proofErr w:type="gramStart"/>
      <w:r w:rsidRPr="004253D2">
        <w:rPr>
          <w:rFonts w:ascii="Century Gothic" w:eastAsia="Century Gothic" w:hAnsi="Century Gothic" w:cs="Century Gothic"/>
          <w:sz w:val="18"/>
          <w:szCs w:val="18"/>
        </w:rPr>
        <w:t>high cost</w:t>
      </w:r>
      <w:proofErr w:type="gramEnd"/>
      <w:r w:rsidRPr="004253D2">
        <w:rPr>
          <w:rFonts w:ascii="Century Gothic" w:eastAsia="Century Gothic" w:hAnsi="Century Gothic" w:cs="Century Gothic"/>
          <w:sz w:val="18"/>
          <w:szCs w:val="18"/>
        </w:rPr>
        <w:t xml:space="preserve"> parameter (C = 700) compared to standard financial time series models. It also forces 140 out of the 142 training observations to act as support vectors. This massive selection rate strongly suggests the input space is not linearly separable, directly backing up our earlier findings from the </w:t>
      </w:r>
      <w:proofErr w:type="spellStart"/>
      <w:r w:rsidRPr="004253D2">
        <w:rPr>
          <w:rFonts w:ascii="Century Gothic" w:eastAsia="Century Gothic" w:hAnsi="Century Gothic" w:cs="Century Gothic"/>
          <w:sz w:val="18"/>
          <w:szCs w:val="18"/>
        </w:rPr>
        <w:t>Terasvirta</w:t>
      </w:r>
      <w:proofErr w:type="spellEnd"/>
      <w:r w:rsidRPr="004253D2">
        <w:rPr>
          <w:rFonts w:ascii="Century Gothic" w:eastAsia="Century Gothic" w:hAnsi="Century Gothic" w:cs="Century Gothic"/>
          <w:sz w:val="18"/>
          <w:szCs w:val="18"/>
        </w:rPr>
        <w:t xml:space="preserve"> nonlinearity test. Meanwhile, the RBF kernel settles on a tiny gamma value </w:t>
      </w:r>
      <w:r w:rsidR="00F27BA3" w:rsidRPr="7F6E349C">
        <w:rPr>
          <w:rFonts w:ascii="Century Gothic" w:eastAsia="Century Gothic" w:hAnsi="Century Gothic" w:cs="Century Gothic"/>
          <w:sz w:val="18"/>
          <w:szCs w:val="18"/>
        </w:rPr>
        <w:t>(γ = 5.00 × 10</w:t>
      </w:r>
      <w:r w:rsidR="00F27BA3" w:rsidRPr="7F6E349C">
        <w:rPr>
          <w:rFonts w:ascii="Cambria Math" w:eastAsia="Cambria Math" w:hAnsi="Cambria Math" w:cs="Cambria Math"/>
          <w:sz w:val="18"/>
          <w:szCs w:val="18"/>
        </w:rPr>
        <w:t>⁻⁴</w:t>
      </w:r>
      <w:r w:rsidR="00F27BA3" w:rsidRPr="7F6E349C">
        <w:rPr>
          <w:rFonts w:ascii="Century Gothic" w:eastAsia="Century Gothic" w:hAnsi="Century Gothic" w:cs="Century Gothic"/>
          <w:sz w:val="18"/>
          <w:szCs w:val="18"/>
        </w:rPr>
        <w:t>)</w:t>
      </w:r>
      <w:r w:rsidRPr="004253D2">
        <w:rPr>
          <w:rFonts w:ascii="Century Gothic" w:eastAsia="Century Gothic" w:hAnsi="Century Gothic" w:cs="Century Gothic"/>
          <w:sz w:val="18"/>
          <w:szCs w:val="18"/>
        </w:rPr>
        <w:t xml:space="preserve">. </w:t>
      </w:r>
    </w:p>
    <w:p w14:paraId="0021AEC8" w14:textId="64DF44FA" w:rsidR="0009269C" w:rsidRPr="00DD7990" w:rsidRDefault="004253D2" w:rsidP="00F3357C">
      <w:pPr>
        <w:ind w:firstLine="284"/>
        <w:rPr>
          <w:rFonts w:ascii="Century Gothic" w:eastAsia="Century Gothic" w:hAnsi="Century Gothic" w:cs="Century Gothic"/>
          <w:sz w:val="18"/>
          <w:szCs w:val="18"/>
        </w:rPr>
      </w:pPr>
      <w:r w:rsidRPr="004253D2">
        <w:rPr>
          <w:rFonts w:ascii="Century Gothic" w:eastAsia="Century Gothic" w:hAnsi="Century Gothic" w:cs="Century Gothic"/>
          <w:sz w:val="18"/>
          <w:szCs w:val="18"/>
        </w:rPr>
        <w:t>A value this small creates a wide kernel radius that absorbs broad, long-term temporal patterns instead of chasing small local price fluctuations. This wide scope perfectly fits a dataset heavily skewed by a massive structural shift.</w:t>
      </w:r>
      <w:r w:rsidR="00F27BA3">
        <w:rPr>
          <w:rFonts w:ascii="Century Gothic" w:eastAsia="Century Gothic" w:hAnsi="Century Gothic" w:cs="Century Gothic"/>
          <w:sz w:val="18"/>
          <w:szCs w:val="18"/>
        </w:rPr>
        <w:t xml:space="preserve"> </w:t>
      </w:r>
      <w:r w:rsidRPr="004253D2">
        <w:rPr>
          <w:rFonts w:ascii="Century Gothic" w:eastAsia="Century Gothic" w:hAnsi="Century Gothic" w:cs="Century Gothic"/>
          <w:sz w:val="18"/>
          <w:szCs w:val="18"/>
        </w:rPr>
        <w:t xml:space="preserve">Finally, the sigmoid kernel demonstrated remarkable stability during the grid search. Initial evaluations generated a tight fit </w:t>
      </w:r>
      <w:r w:rsidR="000C2A99" w:rsidRPr="7F6E349C">
        <w:rPr>
          <w:rFonts w:ascii="Century Gothic" w:eastAsia="Century Gothic" w:hAnsi="Century Gothic" w:cs="Century Gothic"/>
          <w:sz w:val="18"/>
          <w:szCs w:val="18"/>
        </w:rPr>
        <w:t>to ε = 0.016, C = 124, γ = 0.011</w:t>
      </w:r>
      <w:r w:rsidRPr="004253D2">
        <w:rPr>
          <w:rFonts w:ascii="Century Gothic" w:eastAsia="Century Gothic" w:hAnsi="Century Gothic" w:cs="Century Gothic"/>
          <w:sz w:val="18"/>
          <w:szCs w:val="18"/>
        </w:rPr>
        <w:t>, and a CV-MSE of 18,3</w:t>
      </w:r>
      <w:r w:rsidR="000C2A99">
        <w:rPr>
          <w:rFonts w:ascii="Century Gothic" w:eastAsia="Century Gothic" w:hAnsi="Century Gothic" w:cs="Century Gothic"/>
          <w:sz w:val="18"/>
          <w:szCs w:val="18"/>
        </w:rPr>
        <w:t>09</w:t>
      </w:r>
      <w:r w:rsidRPr="004253D2">
        <w:rPr>
          <w:rFonts w:ascii="Century Gothic" w:eastAsia="Century Gothic" w:hAnsi="Century Gothic" w:cs="Century Gothic"/>
          <w:sz w:val="18"/>
          <w:szCs w:val="18"/>
        </w:rPr>
        <w:t>.</w:t>
      </w:r>
      <w:r w:rsidR="000C2A99">
        <w:rPr>
          <w:rFonts w:ascii="Century Gothic" w:eastAsia="Century Gothic" w:hAnsi="Century Gothic" w:cs="Century Gothic"/>
          <w:sz w:val="18"/>
          <w:szCs w:val="18"/>
        </w:rPr>
        <w:t>5</w:t>
      </w:r>
      <w:r w:rsidRPr="004253D2">
        <w:rPr>
          <w:rFonts w:ascii="Century Gothic" w:eastAsia="Century Gothic" w:hAnsi="Century Gothic" w:cs="Century Gothic"/>
          <w:sz w:val="18"/>
          <w:szCs w:val="18"/>
        </w:rPr>
        <w:t>. This final output represents a true stable minimum rather than a random artifact of the grid.</w:t>
      </w:r>
      <w:r w:rsidR="00B4011A">
        <w:rPr>
          <w:rFonts w:ascii="Century Gothic" w:eastAsia="Century Gothic" w:hAnsi="Century Gothic" w:cs="Century Gothic"/>
          <w:b/>
          <w:bCs/>
          <w:noProof/>
          <w:sz w:val="18"/>
          <w:szCs w:val="18"/>
        </w:rPr>
        <w:drawing>
          <wp:inline distT="0" distB="0" distL="0" distR="0" wp14:anchorId="0B9609C9" wp14:editId="51921F4B">
            <wp:extent cx="2934929" cy="1431215"/>
            <wp:effectExtent l="0" t="0" r="0" b="4445"/>
            <wp:docPr id="94763638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6382" name="Picture 1" descr="A diagram of a graph&#10;&#10;AI-generated content may be incorrect."/>
                    <pic:cNvPicPr/>
                  </pic:nvPicPr>
                  <pic:blipFill rotWithShape="1">
                    <a:blip r:embed="rId33" cstate="print">
                      <a:extLst>
                        <a:ext uri="{28A0092B-C50C-407E-A947-70E740481C1C}">
                          <a14:useLocalDpi xmlns:a14="http://schemas.microsoft.com/office/drawing/2010/main" val="0"/>
                        </a:ext>
                      </a:extLst>
                    </a:blip>
                    <a:srcRect t="16777" b="52182"/>
                    <a:stretch>
                      <a:fillRect/>
                    </a:stretch>
                  </pic:blipFill>
                  <pic:spPr bwMode="auto">
                    <a:xfrm>
                      <a:off x="0" y="0"/>
                      <a:ext cx="3000192" cy="1463040"/>
                    </a:xfrm>
                    <a:prstGeom prst="rect">
                      <a:avLst/>
                    </a:prstGeom>
                    <a:ln>
                      <a:noFill/>
                    </a:ln>
                    <a:extLst>
                      <a:ext uri="{53640926-AAD7-44D8-BBD7-CCE9431645EC}">
                        <a14:shadowObscured xmlns:a14="http://schemas.microsoft.com/office/drawing/2010/main"/>
                      </a:ext>
                    </a:extLst>
                  </pic:spPr>
                </pic:pic>
              </a:graphicData>
            </a:graphic>
          </wp:inline>
        </w:drawing>
      </w:r>
    </w:p>
    <w:p w14:paraId="780D4422" w14:textId="3F10BCA4" w:rsidR="002442AD" w:rsidRDefault="002442AD" w:rsidP="006E2E32">
      <w:pPr>
        <w:spacing w:after="40"/>
        <w:jc w:val="center"/>
        <w:rPr>
          <w:rFonts w:ascii="Century Gothic" w:eastAsia="Century Gothic" w:hAnsi="Century Gothic" w:cs="Century Gothic"/>
          <w:b/>
          <w:bCs/>
          <w:sz w:val="18"/>
          <w:szCs w:val="18"/>
        </w:rPr>
      </w:pPr>
      <w:r>
        <w:rPr>
          <w:rFonts w:ascii="Century Gothic" w:eastAsia="Century Gothic" w:hAnsi="Century Gothic" w:cs="Century Gothic"/>
          <w:b/>
          <w:bCs/>
          <w:noProof/>
          <w:sz w:val="18"/>
          <w:szCs w:val="18"/>
        </w:rPr>
        <w:drawing>
          <wp:inline distT="0" distB="0" distL="0" distR="0" wp14:anchorId="440B26E7" wp14:editId="6B8FDC0E">
            <wp:extent cx="2150669" cy="1622605"/>
            <wp:effectExtent l="0" t="0" r="2540" b="0"/>
            <wp:docPr id="906796136" name="Picture 2" descr="A diagram of a contour proj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96136" name="Picture 2" descr="A diagram of a contour projection&#10;&#10;AI-generated content may be incorrect."/>
                    <pic:cNvPicPr/>
                  </pic:nvPicPr>
                  <pic:blipFill rotWithShape="1">
                    <a:blip r:embed="rId34" cstate="print">
                      <a:extLst>
                        <a:ext uri="{28A0092B-C50C-407E-A947-70E740481C1C}">
                          <a14:useLocalDpi xmlns:a14="http://schemas.microsoft.com/office/drawing/2010/main" val="0"/>
                        </a:ext>
                      </a:extLst>
                    </a:blip>
                    <a:srcRect t="10753"/>
                    <a:stretch>
                      <a:fillRect/>
                    </a:stretch>
                  </pic:blipFill>
                  <pic:spPr bwMode="auto">
                    <a:xfrm>
                      <a:off x="0" y="0"/>
                      <a:ext cx="2315246" cy="1746772"/>
                    </a:xfrm>
                    <a:prstGeom prst="rect">
                      <a:avLst/>
                    </a:prstGeom>
                    <a:ln>
                      <a:noFill/>
                    </a:ln>
                    <a:extLst>
                      <a:ext uri="{53640926-AAD7-44D8-BBD7-CCE9431645EC}">
                        <a14:shadowObscured xmlns:a14="http://schemas.microsoft.com/office/drawing/2010/main"/>
                      </a:ext>
                    </a:extLst>
                  </pic:spPr>
                </pic:pic>
              </a:graphicData>
            </a:graphic>
          </wp:inline>
        </w:drawing>
      </w:r>
    </w:p>
    <w:p w14:paraId="10F05A7E" w14:textId="58A42B81" w:rsidR="00862FE9" w:rsidRPr="00840D28" w:rsidRDefault="5EC82F99" w:rsidP="006E2E32">
      <w:pPr>
        <w:spacing w:after="40"/>
        <w:jc w:val="center"/>
      </w:pPr>
      <w:r w:rsidRPr="00970063">
        <w:rPr>
          <w:rFonts w:ascii="Century Gothic" w:eastAsia="Century Gothic" w:hAnsi="Century Gothic" w:cs="Century Gothic"/>
          <w:b/>
          <w:bCs/>
          <w:sz w:val="18"/>
          <w:szCs w:val="18"/>
        </w:rPr>
        <w:t xml:space="preserve">Figure </w:t>
      </w:r>
      <w:r w:rsidR="00BB3BD8">
        <w:rPr>
          <w:rFonts w:ascii="Century Gothic" w:eastAsia="Century Gothic" w:hAnsi="Century Gothic" w:cs="Century Gothic"/>
          <w:b/>
          <w:bCs/>
          <w:sz w:val="18"/>
          <w:szCs w:val="18"/>
        </w:rPr>
        <w:t>1</w:t>
      </w:r>
      <w:r w:rsidR="003348B3">
        <w:rPr>
          <w:rFonts w:ascii="Century Gothic" w:eastAsia="Century Gothic" w:hAnsi="Century Gothic" w:cs="Century Gothic"/>
          <w:b/>
          <w:bCs/>
          <w:sz w:val="18"/>
          <w:szCs w:val="18"/>
        </w:rPr>
        <w:t>3</w:t>
      </w:r>
      <w:r w:rsidR="00BB3BD8">
        <w:rPr>
          <w:rFonts w:ascii="Century Gothic" w:eastAsia="Century Gothic" w:hAnsi="Century Gothic" w:cs="Century Gothic"/>
          <w:b/>
          <w:bCs/>
          <w:sz w:val="18"/>
          <w:szCs w:val="18"/>
        </w:rPr>
        <w:t>.</w:t>
      </w:r>
      <w:r w:rsidR="00840D28">
        <w:t xml:space="preserve"> </w:t>
      </w:r>
      <w:r w:rsidR="005C64E2" w:rsidRPr="005C64E2">
        <w:rPr>
          <w:rFonts w:ascii="Century Gothic" w:eastAsia="Century Gothic" w:hAnsi="Century Gothic" w:cs="Century Gothic"/>
          <w:sz w:val="18"/>
          <w:szCs w:val="18"/>
        </w:rPr>
        <w:t>Hyperparameter tuning surface for the optimal sigmoid kernel.</w:t>
      </w:r>
    </w:p>
    <w:p w14:paraId="7EBEB1FF" w14:textId="51676ECC" w:rsidR="00E00D7C" w:rsidRDefault="5EC82F99" w:rsidP="006E2E32">
      <w:pPr>
        <w:spacing w:before="180"/>
        <w:jc w:val="left"/>
        <w:rPr>
          <w:rFonts w:ascii="Century Gothic" w:eastAsia="Century Gothic" w:hAnsi="Century Gothic" w:cs="Century Gothic"/>
          <w:b/>
          <w:bCs/>
          <w:i/>
          <w:iCs/>
          <w:color w:val="943634"/>
          <w:sz w:val="18"/>
          <w:szCs w:val="18"/>
        </w:rPr>
      </w:pPr>
      <w:proofErr w:type="gramStart"/>
      <w:r w:rsidRPr="00E00D7C">
        <w:rPr>
          <w:rFonts w:ascii="Century Gothic" w:eastAsia="Century Gothic" w:hAnsi="Century Gothic" w:cs="Century Gothic"/>
          <w:b/>
          <w:bCs/>
          <w:i/>
          <w:iCs/>
          <w:color w:val="943634"/>
          <w:sz w:val="18"/>
          <w:szCs w:val="18"/>
        </w:rPr>
        <w:lastRenderedPageBreak/>
        <w:t>3.3.3  Training</w:t>
      </w:r>
      <w:proofErr w:type="gramEnd"/>
      <w:r w:rsidRPr="00E00D7C">
        <w:rPr>
          <w:rFonts w:ascii="Century Gothic" w:eastAsia="Century Gothic" w:hAnsi="Century Gothic" w:cs="Century Gothic"/>
          <w:b/>
          <w:bCs/>
          <w:i/>
          <w:iCs/>
          <w:color w:val="943634"/>
          <w:sz w:val="18"/>
          <w:szCs w:val="18"/>
        </w:rPr>
        <w:t xml:space="preserve"> and Testing Performance</w:t>
      </w:r>
    </w:p>
    <w:p w14:paraId="0141B1A6" w14:textId="77777777" w:rsidR="00E00D7C" w:rsidRPr="00E00D7C" w:rsidRDefault="00E00D7C" w:rsidP="006E2E32">
      <w:pPr>
        <w:jc w:val="left"/>
        <w:rPr>
          <w:rFonts w:ascii="Century Gothic" w:eastAsia="Century Gothic" w:hAnsi="Century Gothic" w:cs="Century Gothic"/>
          <w:b/>
          <w:bCs/>
          <w:i/>
          <w:iCs/>
          <w:color w:val="943634"/>
          <w:sz w:val="18"/>
          <w:szCs w:val="18"/>
        </w:rPr>
      </w:pPr>
    </w:p>
    <w:p w14:paraId="41E6A976" w14:textId="561D41DD" w:rsidR="00BE4640" w:rsidRDefault="00BE4640" w:rsidP="00F3357C">
      <w:pPr>
        <w:spacing w:after="240"/>
        <w:rPr>
          <w:rFonts w:ascii="Century Gothic" w:eastAsia="Century Gothic" w:hAnsi="Century Gothic" w:cs="Century Gothic"/>
          <w:sz w:val="18"/>
          <w:szCs w:val="18"/>
        </w:rPr>
      </w:pPr>
      <w:r w:rsidRPr="00BE4640">
        <w:rPr>
          <w:rFonts w:ascii="Century Gothic" w:eastAsia="Century Gothic" w:hAnsi="Century Gothic" w:cs="Century Gothic"/>
          <w:sz w:val="18"/>
          <w:szCs w:val="18"/>
        </w:rPr>
        <w:t xml:space="preserve">Table </w:t>
      </w:r>
      <w:r w:rsidR="00DA0529">
        <w:rPr>
          <w:rFonts w:ascii="Century Gothic" w:eastAsia="Century Gothic" w:hAnsi="Century Gothic" w:cs="Century Gothic"/>
          <w:sz w:val="18"/>
          <w:szCs w:val="18"/>
        </w:rPr>
        <w:t>9</w:t>
      </w:r>
      <w:r w:rsidRPr="00BE4640">
        <w:rPr>
          <w:rFonts w:ascii="Century Gothic" w:eastAsia="Century Gothic" w:hAnsi="Century Gothic" w:cs="Century Gothic"/>
          <w:sz w:val="18"/>
          <w:szCs w:val="18"/>
        </w:rPr>
        <w:t xml:space="preserve"> details the complete performance profile for the three competitive kernels. We also retained the polynomial kernel strictly as a comparative reference. The table covers several key metrics: training RMSE and MAPE, testing RMSE and MAPE, testing MAE, and </w:t>
      </w:r>
      <w:r w:rsidRPr="00BE4640">
        <w:rPr>
          <w:rFonts w:ascii="Century Gothic" w:eastAsia="Century Gothic" w:hAnsi="Century Gothic" w:cs="Century Gothic"/>
          <w:sz w:val="18"/>
          <w:szCs w:val="18"/>
        </w:rPr>
        <w:t xml:space="preserve">the absolute and proportional overfitting gaps between training and testing RMSE. The sigmoid kernel consistently beat the alternatives. It secured the lowest error values across every single metric simultaneously. Because it outperformed all other options, we designated the sigmoid kernel as the final SVRX model for all subsequent analysis. </w:t>
      </w:r>
    </w:p>
    <w:p w14:paraId="05AB7AE9" w14:textId="77777777" w:rsidR="00A60516" w:rsidRDefault="00A60516" w:rsidP="006E2E32">
      <w:pPr>
        <w:rPr>
          <w:rFonts w:ascii="Century Gothic" w:eastAsia="Century Gothic" w:hAnsi="Century Gothic" w:cs="Century Gothic"/>
          <w:b/>
          <w:bCs/>
          <w:sz w:val="18"/>
          <w:szCs w:val="18"/>
        </w:rPr>
        <w:sectPr w:rsidR="00A60516" w:rsidSect="0073658A">
          <w:type w:val="continuous"/>
          <w:pgSz w:w="12240" w:h="15840" w:code="1"/>
          <w:pgMar w:top="720" w:right="1094" w:bottom="950" w:left="1094" w:header="720" w:footer="720" w:gutter="0"/>
          <w:cols w:num="2" w:space="709"/>
        </w:sectPr>
      </w:pPr>
    </w:p>
    <w:p w14:paraId="03E8D80F" w14:textId="0001CA0D" w:rsidR="00AD70D0" w:rsidRDefault="5EC82F99" w:rsidP="006E2E32">
      <w:pPr>
        <w:jc w:val="center"/>
      </w:pPr>
      <w:r w:rsidRPr="7F6E349C">
        <w:rPr>
          <w:rFonts w:ascii="Century Gothic" w:eastAsia="Century Gothic" w:hAnsi="Century Gothic" w:cs="Century Gothic"/>
          <w:b/>
          <w:bCs/>
          <w:sz w:val="18"/>
          <w:szCs w:val="18"/>
        </w:rPr>
        <w:t xml:space="preserve">Table </w:t>
      </w:r>
      <w:r w:rsidR="00DA0529">
        <w:rPr>
          <w:rFonts w:ascii="Century Gothic" w:eastAsia="Century Gothic" w:hAnsi="Century Gothic" w:cs="Century Gothic"/>
          <w:b/>
          <w:bCs/>
          <w:sz w:val="18"/>
          <w:szCs w:val="18"/>
        </w:rPr>
        <w:t>9</w:t>
      </w:r>
      <w:r w:rsidR="001E78CA">
        <w:rPr>
          <w:rFonts w:ascii="Century Gothic" w:eastAsia="Century Gothic" w:hAnsi="Century Gothic" w:cs="Century Gothic"/>
          <w:b/>
          <w:bCs/>
          <w:sz w:val="18"/>
          <w:szCs w:val="18"/>
        </w:rPr>
        <w:t>.</w:t>
      </w:r>
      <w:r w:rsidRPr="7F6E349C">
        <w:rPr>
          <w:rFonts w:ascii="Century Gothic" w:eastAsia="Century Gothic" w:hAnsi="Century Gothic" w:cs="Century Gothic"/>
          <w:b/>
          <w:bCs/>
          <w:sz w:val="18"/>
          <w:szCs w:val="18"/>
        </w:rPr>
        <w:t xml:space="preserve"> </w:t>
      </w:r>
      <w:r w:rsidR="00DA0529" w:rsidRPr="00DA0529">
        <w:rPr>
          <w:rFonts w:ascii="Century Gothic" w:eastAsia="Century Gothic" w:hAnsi="Century Gothic" w:cs="Century Gothic"/>
          <w:sz w:val="18"/>
          <w:szCs w:val="18"/>
        </w:rPr>
        <w:t>Performance evaluation of SVRX kernels during the training and testing phases.</w:t>
      </w:r>
    </w:p>
    <w:tbl>
      <w:tblPr>
        <w:tblW w:w="10065" w:type="dxa"/>
        <w:tblLook w:val="06A0" w:firstRow="1" w:lastRow="0" w:firstColumn="1" w:lastColumn="0" w:noHBand="1" w:noVBand="1"/>
      </w:tblPr>
      <w:tblGrid>
        <w:gridCol w:w="1157"/>
        <w:gridCol w:w="1484"/>
        <w:gridCol w:w="1485"/>
        <w:gridCol w:w="1485"/>
        <w:gridCol w:w="1484"/>
        <w:gridCol w:w="1485"/>
        <w:gridCol w:w="1485"/>
      </w:tblGrid>
      <w:tr w:rsidR="7F6E349C" w14:paraId="6DBE8D9C" w14:textId="77777777" w:rsidTr="006E2E32">
        <w:trPr>
          <w:cantSplit/>
          <w:trHeight w:val="495"/>
        </w:trPr>
        <w:tc>
          <w:tcPr>
            <w:tcW w:w="1157" w:type="dxa"/>
            <w:tcBorders>
              <w:top w:val="single" w:sz="12" w:space="0" w:color="000000" w:themeColor="text1"/>
              <w:left w:val="nil"/>
              <w:bottom w:val="single" w:sz="8" w:space="0" w:color="000000" w:themeColor="text1"/>
              <w:right w:val="nil"/>
            </w:tcBorders>
            <w:shd w:val="clear" w:color="auto" w:fill="FFFFFF" w:themeFill="background1"/>
            <w:tcMar>
              <w:top w:w="60" w:type="dxa"/>
              <w:bottom w:w="60" w:type="dxa"/>
              <w:right w:w="100" w:type="dxa"/>
            </w:tcMar>
            <w:vAlign w:val="center"/>
          </w:tcPr>
          <w:p w14:paraId="09735753" w14:textId="7195D67E" w:rsidR="7F6E349C" w:rsidRDefault="7F6E349C" w:rsidP="006E2E32">
            <w:pP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Kernel</w:t>
            </w:r>
          </w:p>
        </w:tc>
        <w:tc>
          <w:tcPr>
            <w:tcW w:w="1484" w:type="dxa"/>
            <w:tcBorders>
              <w:top w:val="single" w:sz="12" w:space="0" w:color="000000" w:themeColor="text1"/>
              <w:left w:val="nil"/>
              <w:bottom w:val="single" w:sz="8" w:space="0" w:color="000000" w:themeColor="text1"/>
              <w:right w:val="nil"/>
            </w:tcBorders>
            <w:shd w:val="clear" w:color="auto" w:fill="FFFFFF" w:themeFill="background1"/>
            <w:tcMar>
              <w:top w:w="60" w:type="dxa"/>
              <w:left w:w="100" w:type="dxa"/>
              <w:bottom w:w="60" w:type="dxa"/>
              <w:right w:w="100" w:type="dxa"/>
            </w:tcMar>
            <w:vAlign w:val="center"/>
          </w:tcPr>
          <w:p w14:paraId="765B77A4" w14:textId="1ED21DB0"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Train RMSE</w:t>
            </w:r>
          </w:p>
        </w:tc>
        <w:tc>
          <w:tcPr>
            <w:tcW w:w="1485" w:type="dxa"/>
            <w:tcBorders>
              <w:top w:val="single" w:sz="12" w:space="0" w:color="000000" w:themeColor="text1"/>
              <w:left w:val="nil"/>
              <w:bottom w:val="single" w:sz="8" w:space="0" w:color="000000" w:themeColor="text1"/>
              <w:right w:val="nil"/>
            </w:tcBorders>
            <w:shd w:val="clear" w:color="auto" w:fill="FFFFFF" w:themeFill="background1"/>
            <w:tcMar>
              <w:top w:w="60" w:type="dxa"/>
              <w:left w:w="100" w:type="dxa"/>
              <w:bottom w:w="60" w:type="dxa"/>
              <w:right w:w="100" w:type="dxa"/>
            </w:tcMar>
            <w:vAlign w:val="center"/>
          </w:tcPr>
          <w:p w14:paraId="45475C70" w14:textId="7A0F2DC4"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Train MAPE (%)</w:t>
            </w:r>
          </w:p>
        </w:tc>
        <w:tc>
          <w:tcPr>
            <w:tcW w:w="1485" w:type="dxa"/>
            <w:tcBorders>
              <w:top w:val="single" w:sz="12" w:space="0" w:color="000000" w:themeColor="text1"/>
              <w:left w:val="nil"/>
              <w:bottom w:val="single" w:sz="8" w:space="0" w:color="000000" w:themeColor="text1"/>
              <w:right w:val="nil"/>
            </w:tcBorders>
            <w:shd w:val="clear" w:color="auto" w:fill="FFFFFF" w:themeFill="background1"/>
            <w:tcMar>
              <w:top w:w="60" w:type="dxa"/>
              <w:left w:w="100" w:type="dxa"/>
              <w:bottom w:w="60" w:type="dxa"/>
              <w:right w:w="100" w:type="dxa"/>
            </w:tcMar>
            <w:vAlign w:val="center"/>
          </w:tcPr>
          <w:p w14:paraId="11A13F1E" w14:textId="1AEC249F"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Test RMSE</w:t>
            </w:r>
          </w:p>
        </w:tc>
        <w:tc>
          <w:tcPr>
            <w:tcW w:w="1484" w:type="dxa"/>
            <w:tcBorders>
              <w:top w:val="single" w:sz="12" w:space="0" w:color="000000" w:themeColor="text1"/>
              <w:left w:val="nil"/>
              <w:bottom w:val="single" w:sz="8" w:space="0" w:color="000000" w:themeColor="text1"/>
              <w:right w:val="nil"/>
            </w:tcBorders>
            <w:shd w:val="clear" w:color="auto" w:fill="FFFFFF" w:themeFill="background1"/>
            <w:tcMar>
              <w:top w:w="60" w:type="dxa"/>
              <w:left w:w="100" w:type="dxa"/>
              <w:bottom w:w="60" w:type="dxa"/>
              <w:right w:w="100" w:type="dxa"/>
            </w:tcMar>
            <w:vAlign w:val="center"/>
          </w:tcPr>
          <w:p w14:paraId="1695B9FA" w14:textId="5BC371DC"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Test MAPE (%)</w:t>
            </w:r>
          </w:p>
        </w:tc>
        <w:tc>
          <w:tcPr>
            <w:tcW w:w="1485" w:type="dxa"/>
            <w:tcBorders>
              <w:top w:val="single" w:sz="12" w:space="0" w:color="000000" w:themeColor="text1"/>
              <w:left w:val="nil"/>
              <w:bottom w:val="single" w:sz="8" w:space="0" w:color="000000" w:themeColor="text1"/>
              <w:right w:val="nil"/>
            </w:tcBorders>
            <w:shd w:val="clear" w:color="auto" w:fill="FFFFFF" w:themeFill="background1"/>
            <w:tcMar>
              <w:top w:w="60" w:type="dxa"/>
              <w:left w:w="100" w:type="dxa"/>
              <w:bottom w:w="60" w:type="dxa"/>
              <w:right w:w="100" w:type="dxa"/>
            </w:tcMar>
            <w:vAlign w:val="center"/>
          </w:tcPr>
          <w:p w14:paraId="2E76EDDF" w14:textId="19FD21ED"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Test MAE</w:t>
            </w:r>
          </w:p>
        </w:tc>
        <w:tc>
          <w:tcPr>
            <w:tcW w:w="1485" w:type="dxa"/>
            <w:tcBorders>
              <w:top w:val="single" w:sz="12" w:space="0" w:color="000000" w:themeColor="text1"/>
              <w:left w:val="nil"/>
              <w:bottom w:val="single" w:sz="8" w:space="0" w:color="000000" w:themeColor="text1"/>
              <w:right w:val="nil"/>
            </w:tcBorders>
            <w:shd w:val="clear" w:color="auto" w:fill="FFFFFF" w:themeFill="background1"/>
            <w:tcMar>
              <w:top w:w="60" w:type="dxa"/>
              <w:left w:w="100" w:type="dxa"/>
              <w:bottom w:w="60" w:type="dxa"/>
              <w:right w:w="100" w:type="dxa"/>
            </w:tcMar>
            <w:vAlign w:val="center"/>
          </w:tcPr>
          <w:p w14:paraId="66CE0C9A" w14:textId="61B17ADE"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Gap (RMSE)</w:t>
            </w:r>
          </w:p>
        </w:tc>
      </w:tr>
      <w:tr w:rsidR="7F6E349C" w14:paraId="0109AF7B" w14:textId="77777777" w:rsidTr="003D17EE">
        <w:trPr>
          <w:trHeight w:val="441"/>
        </w:trPr>
        <w:tc>
          <w:tcPr>
            <w:tcW w:w="1157" w:type="dxa"/>
            <w:tcBorders>
              <w:top w:val="single" w:sz="8" w:space="0" w:color="000000" w:themeColor="text1"/>
              <w:left w:val="nil"/>
              <w:bottom w:val="nil"/>
              <w:right w:val="nil"/>
            </w:tcBorders>
            <w:shd w:val="clear" w:color="auto" w:fill="FFFFFF" w:themeFill="background1"/>
            <w:tcMar>
              <w:top w:w="60" w:type="dxa"/>
              <w:bottom w:w="60" w:type="dxa"/>
              <w:right w:w="100" w:type="dxa"/>
            </w:tcMar>
            <w:vAlign w:val="center"/>
          </w:tcPr>
          <w:p w14:paraId="4D20FF62" w14:textId="4FE1D10E" w:rsidR="7F6E349C" w:rsidRDefault="7F6E349C" w:rsidP="006E2E32">
            <w:pP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Linear</w:t>
            </w:r>
          </w:p>
        </w:tc>
        <w:tc>
          <w:tcPr>
            <w:tcW w:w="1484" w:type="dxa"/>
            <w:tcBorders>
              <w:top w:val="single" w:sz="8" w:space="0" w:color="000000" w:themeColor="text1"/>
              <w:left w:val="nil"/>
              <w:bottom w:val="nil"/>
              <w:right w:val="nil"/>
            </w:tcBorders>
            <w:shd w:val="clear" w:color="auto" w:fill="FFFFFF" w:themeFill="background1"/>
            <w:tcMar>
              <w:top w:w="60" w:type="dxa"/>
              <w:left w:w="100" w:type="dxa"/>
              <w:bottom w:w="60" w:type="dxa"/>
              <w:right w:w="100" w:type="dxa"/>
            </w:tcMar>
            <w:vAlign w:val="center"/>
          </w:tcPr>
          <w:p w14:paraId="5E697BD1" w14:textId="3F82948D"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141.303</w:t>
            </w:r>
          </w:p>
        </w:tc>
        <w:tc>
          <w:tcPr>
            <w:tcW w:w="1485" w:type="dxa"/>
            <w:tcBorders>
              <w:top w:val="single" w:sz="8" w:space="0" w:color="000000" w:themeColor="text1"/>
              <w:left w:val="nil"/>
              <w:bottom w:val="nil"/>
              <w:right w:val="nil"/>
            </w:tcBorders>
            <w:shd w:val="clear" w:color="auto" w:fill="FFFFFF" w:themeFill="background1"/>
            <w:tcMar>
              <w:top w:w="60" w:type="dxa"/>
              <w:left w:w="100" w:type="dxa"/>
              <w:bottom w:w="60" w:type="dxa"/>
              <w:right w:w="100" w:type="dxa"/>
            </w:tcMar>
            <w:vAlign w:val="center"/>
          </w:tcPr>
          <w:p w14:paraId="48273D74" w14:textId="48028BCC"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2.328</w:t>
            </w:r>
          </w:p>
        </w:tc>
        <w:tc>
          <w:tcPr>
            <w:tcW w:w="1485" w:type="dxa"/>
            <w:tcBorders>
              <w:top w:val="single" w:sz="8" w:space="0" w:color="000000" w:themeColor="text1"/>
              <w:left w:val="nil"/>
              <w:bottom w:val="nil"/>
              <w:right w:val="nil"/>
            </w:tcBorders>
            <w:shd w:val="clear" w:color="auto" w:fill="FFFFFF" w:themeFill="background1"/>
            <w:tcMar>
              <w:top w:w="60" w:type="dxa"/>
              <w:left w:w="100" w:type="dxa"/>
              <w:bottom w:w="60" w:type="dxa"/>
              <w:right w:w="100" w:type="dxa"/>
            </w:tcMar>
            <w:vAlign w:val="center"/>
          </w:tcPr>
          <w:p w14:paraId="69F85FE2" w14:textId="12844873"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277.591</w:t>
            </w:r>
          </w:p>
        </w:tc>
        <w:tc>
          <w:tcPr>
            <w:tcW w:w="1484" w:type="dxa"/>
            <w:tcBorders>
              <w:top w:val="single" w:sz="8" w:space="0" w:color="000000" w:themeColor="text1"/>
              <w:left w:val="nil"/>
              <w:bottom w:val="nil"/>
              <w:right w:val="nil"/>
            </w:tcBorders>
            <w:shd w:val="clear" w:color="auto" w:fill="FFFFFF" w:themeFill="background1"/>
            <w:tcMar>
              <w:top w:w="60" w:type="dxa"/>
              <w:left w:w="100" w:type="dxa"/>
              <w:bottom w:w="60" w:type="dxa"/>
              <w:right w:w="100" w:type="dxa"/>
            </w:tcMar>
            <w:vAlign w:val="center"/>
          </w:tcPr>
          <w:p w14:paraId="1A652FE8" w14:textId="58ED18A1"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3.540</w:t>
            </w:r>
          </w:p>
        </w:tc>
        <w:tc>
          <w:tcPr>
            <w:tcW w:w="1485" w:type="dxa"/>
            <w:tcBorders>
              <w:top w:val="single" w:sz="8" w:space="0" w:color="000000" w:themeColor="text1"/>
              <w:left w:val="nil"/>
              <w:bottom w:val="nil"/>
              <w:right w:val="nil"/>
            </w:tcBorders>
            <w:shd w:val="clear" w:color="auto" w:fill="FFFFFF" w:themeFill="background1"/>
            <w:tcMar>
              <w:top w:w="60" w:type="dxa"/>
              <w:left w:w="100" w:type="dxa"/>
              <w:bottom w:w="60" w:type="dxa"/>
              <w:right w:w="100" w:type="dxa"/>
            </w:tcMar>
            <w:vAlign w:val="center"/>
          </w:tcPr>
          <w:p w14:paraId="4F43B3A6" w14:textId="704619D0"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221.84</w:t>
            </w:r>
          </w:p>
        </w:tc>
        <w:tc>
          <w:tcPr>
            <w:tcW w:w="1485" w:type="dxa"/>
            <w:tcBorders>
              <w:top w:val="single" w:sz="8" w:space="0" w:color="000000" w:themeColor="text1"/>
              <w:left w:val="nil"/>
              <w:bottom w:val="nil"/>
              <w:right w:val="nil"/>
            </w:tcBorders>
            <w:shd w:val="clear" w:color="auto" w:fill="FFFFFF" w:themeFill="background1"/>
            <w:tcMar>
              <w:top w:w="60" w:type="dxa"/>
              <w:left w:w="100" w:type="dxa"/>
              <w:bottom w:w="60" w:type="dxa"/>
              <w:right w:w="100" w:type="dxa"/>
            </w:tcMar>
            <w:vAlign w:val="center"/>
          </w:tcPr>
          <w:p w14:paraId="5D4555FF" w14:textId="1943EB96"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136.288</w:t>
            </w:r>
          </w:p>
        </w:tc>
      </w:tr>
      <w:tr w:rsidR="7F6E349C" w14:paraId="04136E1B" w14:textId="77777777" w:rsidTr="003D17EE">
        <w:trPr>
          <w:trHeight w:val="441"/>
        </w:trPr>
        <w:tc>
          <w:tcPr>
            <w:tcW w:w="1157" w:type="dxa"/>
            <w:tcBorders>
              <w:top w:val="nil"/>
              <w:left w:val="nil"/>
              <w:bottom w:val="nil"/>
              <w:right w:val="nil"/>
            </w:tcBorders>
            <w:shd w:val="clear" w:color="auto" w:fill="FFFFFF" w:themeFill="background1"/>
            <w:tcMar>
              <w:top w:w="60" w:type="dxa"/>
              <w:bottom w:w="60" w:type="dxa"/>
              <w:right w:w="100" w:type="dxa"/>
            </w:tcMar>
            <w:vAlign w:val="center"/>
          </w:tcPr>
          <w:p w14:paraId="2308F086" w14:textId="4438313B" w:rsidR="7F6E349C" w:rsidRDefault="7F6E349C" w:rsidP="006E2E32">
            <w:pP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Radial (RBF)</w:t>
            </w:r>
          </w:p>
        </w:tc>
        <w:tc>
          <w:tcPr>
            <w:tcW w:w="1484"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7079D275" w14:textId="46F1ECD7"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140.754</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45AA49F3" w14:textId="68DC5736"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2.353</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64D42B44" w14:textId="7A8FF760"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272.753</w:t>
            </w:r>
          </w:p>
        </w:tc>
        <w:tc>
          <w:tcPr>
            <w:tcW w:w="1484"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1402231E" w14:textId="07B0458A"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3.431</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5C3C6AA9" w14:textId="7BD11002"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208.73</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2A896DA5" w14:textId="5F61D87E"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132.000</w:t>
            </w:r>
          </w:p>
        </w:tc>
      </w:tr>
      <w:tr w:rsidR="7F6E349C" w14:paraId="534D41A0" w14:textId="77777777" w:rsidTr="003D17EE">
        <w:trPr>
          <w:trHeight w:val="441"/>
        </w:trPr>
        <w:tc>
          <w:tcPr>
            <w:tcW w:w="1157" w:type="dxa"/>
            <w:tcBorders>
              <w:top w:val="nil"/>
              <w:left w:val="nil"/>
              <w:bottom w:val="nil"/>
              <w:right w:val="nil"/>
            </w:tcBorders>
            <w:shd w:val="clear" w:color="auto" w:fill="FFFFFF" w:themeFill="background1"/>
            <w:tcMar>
              <w:top w:w="60" w:type="dxa"/>
              <w:bottom w:w="60" w:type="dxa"/>
              <w:right w:w="100" w:type="dxa"/>
            </w:tcMar>
            <w:vAlign w:val="center"/>
          </w:tcPr>
          <w:p w14:paraId="2BA47453" w14:textId="540E6A1B" w:rsidR="7F6E349C" w:rsidRDefault="7F6E349C" w:rsidP="006E2E32">
            <w:pP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Sigmoid</w:t>
            </w:r>
          </w:p>
        </w:tc>
        <w:tc>
          <w:tcPr>
            <w:tcW w:w="1484"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3D75ABB3" w14:textId="17CD7B37"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140.511</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45656C44" w14:textId="10601C2F"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2.349</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0DB70321" w14:textId="3B487240"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271.494</w:t>
            </w:r>
          </w:p>
        </w:tc>
        <w:tc>
          <w:tcPr>
            <w:tcW w:w="1484"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7D8C09C4" w14:textId="39354117"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3.327</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2A58DC5C" w14:textId="29C2F6C1"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200.66</w:t>
            </w:r>
          </w:p>
        </w:tc>
        <w:tc>
          <w:tcPr>
            <w:tcW w:w="1485" w:type="dxa"/>
            <w:tcBorders>
              <w:top w:val="nil"/>
              <w:left w:val="nil"/>
              <w:bottom w:val="nil"/>
              <w:right w:val="nil"/>
            </w:tcBorders>
            <w:shd w:val="clear" w:color="auto" w:fill="FFFFFF" w:themeFill="background1"/>
            <w:tcMar>
              <w:top w:w="60" w:type="dxa"/>
              <w:left w:w="100" w:type="dxa"/>
              <w:bottom w:w="60" w:type="dxa"/>
              <w:right w:w="100" w:type="dxa"/>
            </w:tcMar>
            <w:vAlign w:val="center"/>
          </w:tcPr>
          <w:p w14:paraId="631FFC74" w14:textId="005A25A8" w:rsidR="7F6E349C" w:rsidRDefault="7F6E349C" w:rsidP="006E2E32">
            <w:pPr>
              <w:jc w:val="center"/>
              <w:rPr>
                <w:rFonts w:ascii="Century Gothic" w:eastAsia="Century Gothic" w:hAnsi="Century Gothic" w:cs="Century Gothic"/>
                <w:b/>
                <w:bCs/>
                <w:color w:val="000000" w:themeColor="text1"/>
                <w:sz w:val="18"/>
                <w:szCs w:val="18"/>
              </w:rPr>
            </w:pPr>
            <w:r w:rsidRPr="7F6E349C">
              <w:rPr>
                <w:rFonts w:ascii="Century Gothic" w:eastAsia="Century Gothic" w:hAnsi="Century Gothic" w:cs="Century Gothic"/>
                <w:b/>
                <w:bCs/>
                <w:color w:val="000000" w:themeColor="text1"/>
                <w:sz w:val="18"/>
                <w:szCs w:val="18"/>
              </w:rPr>
              <w:t>130.983</w:t>
            </w:r>
          </w:p>
        </w:tc>
      </w:tr>
      <w:tr w:rsidR="7F6E349C" w14:paraId="66F9C72F" w14:textId="77777777" w:rsidTr="003D17EE">
        <w:trPr>
          <w:trHeight w:val="441"/>
        </w:trPr>
        <w:tc>
          <w:tcPr>
            <w:tcW w:w="1157" w:type="dxa"/>
            <w:tcBorders>
              <w:top w:val="nil"/>
              <w:left w:val="nil"/>
              <w:bottom w:val="single" w:sz="12" w:space="0" w:color="000000" w:themeColor="text1"/>
              <w:right w:val="nil"/>
            </w:tcBorders>
            <w:shd w:val="clear" w:color="auto" w:fill="FFFFFF" w:themeFill="background1"/>
            <w:tcMar>
              <w:top w:w="60" w:type="dxa"/>
              <w:bottom w:w="60" w:type="dxa"/>
              <w:right w:w="100" w:type="dxa"/>
            </w:tcMar>
            <w:vAlign w:val="center"/>
          </w:tcPr>
          <w:p w14:paraId="4EE14ADB" w14:textId="1BA9E62D" w:rsidR="7F6E349C" w:rsidRDefault="7F6E349C" w:rsidP="006E2E32">
            <w:pP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Polynomial</w:t>
            </w:r>
          </w:p>
        </w:tc>
        <w:tc>
          <w:tcPr>
            <w:tcW w:w="1484" w:type="dxa"/>
            <w:tcBorders>
              <w:top w:val="nil"/>
              <w:left w:val="nil"/>
              <w:bottom w:val="single" w:sz="12" w:space="0" w:color="000000" w:themeColor="text1"/>
              <w:right w:val="nil"/>
            </w:tcBorders>
            <w:shd w:val="clear" w:color="auto" w:fill="FFFFFF" w:themeFill="background1"/>
            <w:tcMar>
              <w:top w:w="60" w:type="dxa"/>
              <w:left w:w="100" w:type="dxa"/>
              <w:bottom w:w="60" w:type="dxa"/>
              <w:right w:w="100" w:type="dxa"/>
            </w:tcMar>
            <w:vAlign w:val="center"/>
          </w:tcPr>
          <w:p w14:paraId="725B9991" w14:textId="7BC4796C"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319.643</w:t>
            </w:r>
          </w:p>
        </w:tc>
        <w:tc>
          <w:tcPr>
            <w:tcW w:w="1485" w:type="dxa"/>
            <w:tcBorders>
              <w:top w:val="nil"/>
              <w:left w:val="nil"/>
              <w:bottom w:val="single" w:sz="12" w:space="0" w:color="000000" w:themeColor="text1"/>
              <w:right w:val="nil"/>
            </w:tcBorders>
            <w:shd w:val="clear" w:color="auto" w:fill="FFFFFF" w:themeFill="background1"/>
            <w:tcMar>
              <w:top w:w="60" w:type="dxa"/>
              <w:left w:w="100" w:type="dxa"/>
              <w:bottom w:w="60" w:type="dxa"/>
              <w:right w:w="100" w:type="dxa"/>
            </w:tcMar>
            <w:vAlign w:val="center"/>
          </w:tcPr>
          <w:p w14:paraId="528ABE2D" w14:textId="4E751E14"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6.310</w:t>
            </w:r>
          </w:p>
        </w:tc>
        <w:tc>
          <w:tcPr>
            <w:tcW w:w="1485" w:type="dxa"/>
            <w:tcBorders>
              <w:top w:val="nil"/>
              <w:left w:val="nil"/>
              <w:bottom w:val="single" w:sz="12" w:space="0" w:color="000000" w:themeColor="text1"/>
              <w:right w:val="nil"/>
            </w:tcBorders>
            <w:shd w:val="clear" w:color="auto" w:fill="FFFFFF" w:themeFill="background1"/>
            <w:tcMar>
              <w:top w:w="60" w:type="dxa"/>
              <w:left w:w="100" w:type="dxa"/>
              <w:bottom w:w="60" w:type="dxa"/>
              <w:right w:w="100" w:type="dxa"/>
            </w:tcMar>
            <w:vAlign w:val="center"/>
          </w:tcPr>
          <w:p w14:paraId="13D6C4B1" w14:textId="0887A7F8"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330.076</w:t>
            </w:r>
          </w:p>
        </w:tc>
        <w:tc>
          <w:tcPr>
            <w:tcW w:w="1484" w:type="dxa"/>
            <w:tcBorders>
              <w:top w:val="nil"/>
              <w:left w:val="nil"/>
              <w:bottom w:val="single" w:sz="12" w:space="0" w:color="000000" w:themeColor="text1"/>
              <w:right w:val="nil"/>
            </w:tcBorders>
            <w:shd w:val="clear" w:color="auto" w:fill="FFFFFF" w:themeFill="background1"/>
            <w:tcMar>
              <w:top w:w="60" w:type="dxa"/>
              <w:left w:w="100" w:type="dxa"/>
              <w:bottom w:w="60" w:type="dxa"/>
              <w:right w:w="100" w:type="dxa"/>
            </w:tcMar>
            <w:vAlign w:val="center"/>
          </w:tcPr>
          <w:p w14:paraId="4CA95020" w14:textId="771096EA"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4.317</w:t>
            </w:r>
          </w:p>
        </w:tc>
        <w:tc>
          <w:tcPr>
            <w:tcW w:w="1485" w:type="dxa"/>
            <w:tcBorders>
              <w:top w:val="nil"/>
              <w:left w:val="nil"/>
              <w:bottom w:val="single" w:sz="12" w:space="0" w:color="000000" w:themeColor="text1"/>
              <w:right w:val="nil"/>
            </w:tcBorders>
            <w:shd w:val="clear" w:color="auto" w:fill="FFFFFF" w:themeFill="background1"/>
            <w:tcMar>
              <w:top w:w="60" w:type="dxa"/>
              <w:left w:w="100" w:type="dxa"/>
              <w:bottom w:w="60" w:type="dxa"/>
              <w:right w:w="100" w:type="dxa"/>
            </w:tcMar>
            <w:vAlign w:val="center"/>
          </w:tcPr>
          <w:p w14:paraId="79E423FB" w14:textId="2441EFBC"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261.08</w:t>
            </w:r>
          </w:p>
        </w:tc>
        <w:tc>
          <w:tcPr>
            <w:tcW w:w="1485" w:type="dxa"/>
            <w:tcBorders>
              <w:top w:val="nil"/>
              <w:left w:val="nil"/>
              <w:bottom w:val="single" w:sz="12" w:space="0" w:color="000000" w:themeColor="text1"/>
              <w:right w:val="nil"/>
            </w:tcBorders>
            <w:shd w:val="clear" w:color="auto" w:fill="FFFFFF" w:themeFill="background1"/>
            <w:tcMar>
              <w:top w:w="60" w:type="dxa"/>
              <w:left w:w="100" w:type="dxa"/>
              <w:bottom w:w="60" w:type="dxa"/>
              <w:right w:w="100" w:type="dxa"/>
            </w:tcMar>
            <w:vAlign w:val="center"/>
          </w:tcPr>
          <w:p w14:paraId="03D4E57B" w14:textId="17D01E3B" w:rsidR="7F6E349C" w:rsidRDefault="7F6E349C" w:rsidP="006E2E32">
            <w:pPr>
              <w:jc w:val="center"/>
              <w:rPr>
                <w:rFonts w:ascii="Century Gothic" w:eastAsia="Century Gothic" w:hAnsi="Century Gothic" w:cs="Century Gothic"/>
                <w:color w:val="000000" w:themeColor="text1"/>
                <w:sz w:val="18"/>
                <w:szCs w:val="18"/>
              </w:rPr>
            </w:pPr>
            <w:r w:rsidRPr="7F6E349C">
              <w:rPr>
                <w:rFonts w:ascii="Century Gothic" w:eastAsia="Century Gothic" w:hAnsi="Century Gothic" w:cs="Century Gothic"/>
                <w:color w:val="000000" w:themeColor="text1"/>
                <w:sz w:val="18"/>
                <w:szCs w:val="18"/>
              </w:rPr>
              <w:t>10.433</w:t>
            </w:r>
          </w:p>
        </w:tc>
      </w:tr>
    </w:tbl>
    <w:p w14:paraId="1E96EABA" w14:textId="77777777" w:rsidR="00A60516" w:rsidRDefault="00A60516" w:rsidP="006E2E32">
      <w:pPr>
        <w:spacing w:after="140"/>
        <w:rPr>
          <w:rFonts w:ascii="Century Gothic" w:eastAsia="Century Gothic" w:hAnsi="Century Gothic" w:cs="Century Gothic"/>
          <w:sz w:val="18"/>
          <w:szCs w:val="18"/>
        </w:rPr>
        <w:sectPr w:rsidR="00A60516" w:rsidSect="00A60516">
          <w:type w:val="continuous"/>
          <w:pgSz w:w="12240" w:h="15840" w:code="1"/>
          <w:pgMar w:top="720" w:right="1094" w:bottom="950" w:left="1094" w:header="720" w:footer="720" w:gutter="0"/>
          <w:cols w:space="709"/>
        </w:sectPr>
      </w:pPr>
    </w:p>
    <w:p w14:paraId="7D1A5F96" w14:textId="251EEBF5" w:rsidR="00AD70D0" w:rsidRDefault="00A87587" w:rsidP="006E2E32">
      <w:pPr>
        <w:spacing w:after="140"/>
        <w:ind w:firstLine="284"/>
        <w:rPr>
          <w:rFonts w:ascii="Century Gothic" w:eastAsia="Century Gothic" w:hAnsi="Century Gothic" w:cs="Century Gothic"/>
          <w:sz w:val="18"/>
          <w:szCs w:val="18"/>
        </w:rPr>
      </w:pPr>
      <w:r w:rsidRPr="00A87587">
        <w:rPr>
          <w:rFonts w:ascii="Century Gothic" w:eastAsia="Century Gothic" w:hAnsi="Century Gothic" w:cs="Century Gothic"/>
          <w:sz w:val="18"/>
          <w:szCs w:val="18"/>
        </w:rPr>
        <w:t xml:space="preserve">The SVRX model (sigmoid kernel: </w:t>
      </w:r>
      <w:r w:rsidRPr="5EC82F99">
        <w:rPr>
          <w:rFonts w:ascii="Century Gothic" w:eastAsia="Century Gothic" w:hAnsi="Century Gothic" w:cs="Century Gothic"/>
          <w:sz w:val="18"/>
          <w:szCs w:val="18"/>
        </w:rPr>
        <w:t>ε = 0.016, C = 124, and γ = 0.011</w:t>
      </w:r>
      <w:r w:rsidRPr="00A87587">
        <w:rPr>
          <w:rFonts w:ascii="Century Gothic" w:eastAsia="Century Gothic" w:hAnsi="Century Gothic" w:cs="Century Gothic"/>
          <w:sz w:val="18"/>
          <w:szCs w:val="18"/>
        </w:rPr>
        <w:t>) yields precise in-sample tracking with an RMSE of 140.511 and MAPE of 2.349%. It accurately captures four distinct sub-regime dynamics</w:t>
      </w:r>
      <w:r>
        <w:rPr>
          <w:rFonts w:ascii="Century Gothic" w:eastAsia="Century Gothic" w:hAnsi="Century Gothic" w:cs="Century Gothic"/>
          <w:sz w:val="18"/>
          <w:szCs w:val="18"/>
        </w:rPr>
        <w:t xml:space="preserve"> </w:t>
      </w:r>
      <w:r w:rsidRPr="00A87587">
        <w:rPr>
          <w:rFonts w:ascii="Century Gothic" w:eastAsia="Century Gothic" w:hAnsi="Century Gothic" w:cs="Century Gothic"/>
          <w:sz w:val="18"/>
          <w:szCs w:val="18"/>
        </w:rPr>
        <w:t xml:space="preserve">without requiring separate models. By utilizing an intervention dummy variable to partition the input space at </w:t>
      </w:r>
      <m:oMath>
        <m:sSub>
          <m:sSubPr>
            <m:ctrlPr>
              <w:rPr>
                <w:rFonts w:ascii="Cambria Math" w:eastAsia="Century Gothic" w:hAnsi="Cambria Math" w:cs="Century Gothic"/>
                <w:i/>
                <w:sz w:val="18"/>
                <w:szCs w:val="18"/>
              </w:rPr>
            </m:ctrlPr>
          </m:sSubPr>
          <m:e>
            <m:r>
              <w:rPr>
                <w:rFonts w:ascii="Cambria Math" w:eastAsia="Century Gothic" w:hAnsi="Cambria Math" w:cs="Century Gothic"/>
                <w:sz w:val="18"/>
                <w:szCs w:val="18"/>
              </w:rPr>
              <m:t>X</m:t>
            </m:r>
          </m:e>
          <m:sub>
            <m:r>
              <w:rPr>
                <w:rFonts w:ascii="Cambria Math" w:eastAsia="Century Gothic" w:hAnsi="Cambria Math" w:cs="Century Gothic"/>
                <w:sz w:val="18"/>
                <w:szCs w:val="18"/>
              </w:rPr>
              <m:t>t</m:t>
            </m:r>
          </m:sub>
        </m:sSub>
      </m:oMath>
      <w:r w:rsidRPr="00A87587">
        <w:rPr>
          <w:rFonts w:ascii="Century Gothic" w:eastAsia="Century Gothic" w:hAnsi="Century Gothic" w:cs="Century Gothic"/>
          <w:sz w:val="18"/>
          <w:szCs w:val="18"/>
        </w:rPr>
        <w:t>, the kernel reduces cross-regime similarity scores, enabling a single model to learn distinct pre- and post-intervention nonlinearities.</w:t>
      </w:r>
    </w:p>
    <w:p w14:paraId="5B592181" w14:textId="149887F6" w:rsidR="005C54BF" w:rsidRDefault="00AA5081" w:rsidP="006E2E32">
      <w:pPr>
        <w:spacing w:after="140"/>
        <w:jc w:val="center"/>
      </w:pPr>
      <w:r>
        <w:rPr>
          <w:noProof/>
        </w:rPr>
        <w:drawing>
          <wp:inline distT="0" distB="0" distL="0" distR="0" wp14:anchorId="6A5CF960" wp14:editId="08F90D0B">
            <wp:extent cx="2494800" cy="2248288"/>
            <wp:effectExtent l="0" t="0" r="1270" b="0"/>
            <wp:docPr id="15652705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0593" name="Picture 1565270593"/>
                    <pic:cNvPicPr/>
                  </pic:nvPicPr>
                  <pic:blipFill rotWithShape="1">
                    <a:blip r:embed="rId35" cstate="print">
                      <a:extLst>
                        <a:ext uri="{28A0092B-C50C-407E-A947-70E740481C1C}">
                          <a14:useLocalDpi xmlns:a14="http://schemas.microsoft.com/office/drawing/2010/main" val="0"/>
                        </a:ext>
                      </a:extLst>
                    </a:blip>
                    <a:srcRect t="9881"/>
                    <a:stretch>
                      <a:fillRect/>
                    </a:stretch>
                  </pic:blipFill>
                  <pic:spPr bwMode="auto">
                    <a:xfrm>
                      <a:off x="0" y="0"/>
                      <a:ext cx="2494800" cy="2248288"/>
                    </a:xfrm>
                    <a:prstGeom prst="rect">
                      <a:avLst/>
                    </a:prstGeom>
                    <a:ln>
                      <a:noFill/>
                    </a:ln>
                    <a:extLst>
                      <a:ext uri="{53640926-AAD7-44D8-BBD7-CCE9431645EC}">
                        <a14:shadowObscured xmlns:a14="http://schemas.microsoft.com/office/drawing/2010/main"/>
                      </a:ext>
                    </a:extLst>
                  </pic:spPr>
                </pic:pic>
              </a:graphicData>
            </a:graphic>
          </wp:inline>
        </w:drawing>
      </w:r>
    </w:p>
    <w:p w14:paraId="798EC1F0" w14:textId="77777777" w:rsidR="005C64E2" w:rsidRDefault="5EC82F99" w:rsidP="006E2E32">
      <w:pPr>
        <w:spacing w:after="40"/>
        <w:jc w:val="center"/>
      </w:pPr>
      <w:r w:rsidRPr="003338AE">
        <w:rPr>
          <w:rFonts w:ascii="Century Gothic" w:eastAsia="Century Gothic" w:hAnsi="Century Gothic" w:cs="Century Gothic"/>
          <w:b/>
          <w:bCs/>
          <w:sz w:val="18"/>
          <w:szCs w:val="18"/>
        </w:rPr>
        <w:t xml:space="preserve">Figure </w:t>
      </w:r>
      <w:r w:rsidR="00BB3BD8">
        <w:rPr>
          <w:rFonts w:ascii="Century Gothic" w:eastAsia="Century Gothic" w:hAnsi="Century Gothic" w:cs="Century Gothic"/>
          <w:b/>
          <w:bCs/>
          <w:sz w:val="18"/>
          <w:szCs w:val="18"/>
        </w:rPr>
        <w:t>1</w:t>
      </w:r>
      <w:r w:rsidR="003348B3">
        <w:rPr>
          <w:rFonts w:ascii="Century Gothic" w:eastAsia="Century Gothic" w:hAnsi="Century Gothic" w:cs="Century Gothic"/>
          <w:b/>
          <w:bCs/>
          <w:sz w:val="18"/>
          <w:szCs w:val="18"/>
        </w:rPr>
        <w:t>4</w:t>
      </w:r>
      <w:r w:rsidR="00BB3BD8">
        <w:rPr>
          <w:rFonts w:ascii="Century Gothic" w:eastAsia="Century Gothic" w:hAnsi="Century Gothic" w:cs="Century Gothic"/>
          <w:b/>
          <w:bCs/>
          <w:sz w:val="18"/>
          <w:szCs w:val="18"/>
        </w:rPr>
        <w:t>.</w:t>
      </w:r>
      <w:r w:rsidRPr="5EC82F99">
        <w:rPr>
          <w:rFonts w:ascii="Century Gothic" w:eastAsia="Century Gothic" w:hAnsi="Century Gothic" w:cs="Century Gothic"/>
          <w:sz w:val="18"/>
          <w:szCs w:val="18"/>
        </w:rPr>
        <w:t xml:space="preserve">  </w:t>
      </w:r>
      <w:r w:rsidR="005C64E2" w:rsidRPr="005C64E2">
        <w:rPr>
          <w:rFonts w:ascii="Century Gothic" w:eastAsia="Century Gothic" w:hAnsi="Century Gothic" w:cs="Century Gothic"/>
          <w:sz w:val="18"/>
          <w:szCs w:val="18"/>
        </w:rPr>
        <w:t>In-sample tracking performance of the SVRX sigmoid model (Training Phase).</w:t>
      </w:r>
    </w:p>
    <w:p w14:paraId="7B004F37" w14:textId="48BBD1EF" w:rsidR="006E2E32" w:rsidRDefault="005C64E2" w:rsidP="006E2E32">
      <w:pPr>
        <w:rPr>
          <w:rFonts w:ascii="Century Gothic" w:eastAsia="Century Gothic" w:hAnsi="Century Gothic" w:cs="Century Gothic"/>
          <w:sz w:val="18"/>
          <w:szCs w:val="18"/>
        </w:rPr>
      </w:pPr>
      <w:r>
        <w:t xml:space="preserve">    </w:t>
      </w:r>
      <w:r w:rsidR="00CE1410" w:rsidRPr="00CE1410">
        <w:rPr>
          <w:rFonts w:ascii="Century Gothic" w:eastAsia="Century Gothic" w:hAnsi="Century Gothic" w:cs="Century Gothic"/>
          <w:sz w:val="18"/>
          <w:szCs w:val="18"/>
        </w:rPr>
        <w:t>The testing phase generated an RMSE of 271.494 and a MAPE of 3.327% for the sigmoid SVRX model. The established four-tier classification framework designates any MAPE below 10% as highly accurate. The model comfortably secures this top rating. This degree of precision represents a formidable outcome. The underlying equity data actively resists standard forecasting efforts due to a massive structural regime shift and confirmed nonlinearity</w:t>
      </w:r>
      <w:r w:rsidR="5EC82F99" w:rsidRPr="7F6E349C">
        <w:rPr>
          <w:rFonts w:ascii="Century Gothic" w:eastAsia="Century Gothic" w:hAnsi="Century Gothic" w:cs="Century Gothic"/>
          <w:sz w:val="18"/>
          <w:szCs w:val="18"/>
        </w:rPr>
        <w:t>.</w:t>
      </w:r>
    </w:p>
    <w:p w14:paraId="724ECA3C" w14:textId="77777777" w:rsidR="003D17EE" w:rsidRPr="006E2E32" w:rsidRDefault="003D17EE" w:rsidP="006E2E32">
      <w:pPr>
        <w:rPr>
          <w:rFonts w:ascii="Century Gothic" w:eastAsia="Century Gothic" w:hAnsi="Century Gothic" w:cs="Century Gothic"/>
          <w:sz w:val="18"/>
          <w:szCs w:val="18"/>
        </w:rPr>
      </w:pPr>
    </w:p>
    <w:p w14:paraId="58E12C7F" w14:textId="0C2A1762" w:rsidR="00E00D7C" w:rsidRDefault="5216E507" w:rsidP="006E2E32">
      <w:pPr>
        <w:jc w:val="left"/>
        <w:rPr>
          <w:rFonts w:ascii="Century Gothic" w:hAnsi="Century Gothic"/>
          <w:b/>
          <w:bCs/>
          <w:i/>
          <w:iCs/>
          <w:color w:val="943634"/>
          <w:sz w:val="18"/>
          <w:szCs w:val="18"/>
        </w:rPr>
      </w:pPr>
      <w:proofErr w:type="gramStart"/>
      <w:r w:rsidRPr="00E00D7C">
        <w:rPr>
          <w:rFonts w:ascii="Century Gothic" w:hAnsi="Century Gothic"/>
          <w:b/>
          <w:bCs/>
          <w:i/>
          <w:iCs/>
          <w:color w:val="943634"/>
          <w:sz w:val="18"/>
          <w:szCs w:val="18"/>
        </w:rPr>
        <w:t>3.3.4  Testing</w:t>
      </w:r>
      <w:proofErr w:type="gramEnd"/>
      <w:r w:rsidRPr="00E00D7C">
        <w:rPr>
          <w:rFonts w:ascii="Century Gothic" w:hAnsi="Century Gothic"/>
          <w:b/>
          <w:bCs/>
          <w:i/>
          <w:iCs/>
          <w:color w:val="943634"/>
          <w:sz w:val="18"/>
          <w:szCs w:val="18"/>
        </w:rPr>
        <w:t xml:space="preserve"> Phase Evaluation</w:t>
      </w:r>
    </w:p>
    <w:p w14:paraId="55F65ABF" w14:textId="77777777" w:rsidR="003D17EE" w:rsidRPr="006E2E32" w:rsidRDefault="003D17EE" w:rsidP="006E2E32">
      <w:pPr>
        <w:jc w:val="left"/>
        <w:rPr>
          <w:rFonts w:ascii="Century Gothic" w:hAnsi="Century Gothic"/>
          <w:b/>
          <w:bCs/>
          <w:i/>
          <w:iCs/>
          <w:color w:val="943634"/>
          <w:sz w:val="18"/>
          <w:szCs w:val="18"/>
        </w:rPr>
      </w:pPr>
    </w:p>
    <w:p w14:paraId="788C50BC" w14:textId="3D620BF0" w:rsidR="00A60516" w:rsidRPr="006E2E32" w:rsidRDefault="004B2052" w:rsidP="00F3357C">
      <w:pPr>
        <w:rPr>
          <w:rFonts w:ascii="Century Gothic" w:hAnsi="Century Gothic"/>
          <w:sz w:val="18"/>
          <w:szCs w:val="18"/>
        </w:rPr>
      </w:pPr>
      <w:r w:rsidRPr="004B2052">
        <w:rPr>
          <w:rFonts w:ascii="Century Gothic" w:hAnsi="Century Gothic"/>
          <w:sz w:val="18"/>
          <w:szCs w:val="18"/>
        </w:rPr>
        <w:t>A point-by-point breakdown of all 20 testing observations reveals a highly structured error pattern. The model produces its largest discrepancies during the first ten testing points (observations 144 to 153), where the error signs frequently alternate. The system struggles slightly here because it trained heavily on the volatile transition period, creating a temporary lagged amplitude mismatch. However, the model quickly corrects its trajectory. During the final ten observations (154 to 163), the predictions stabilize tightly against the new post-intervention plateau. Six of these final data points yield absolute errors below IDR 100. The very last observation (163) breaks this stable trend by generating an error of +IDR 394.577. This sudden spike occurred simply because the actual stock experienced an upward breakout that completely deviated from the immediately preceding pattern.</w:t>
      </w:r>
    </w:p>
    <w:p w14:paraId="742F98BD" w14:textId="21FCC132" w:rsidR="00AD70D0" w:rsidRDefault="00A60516" w:rsidP="006E2E32">
      <w:pPr>
        <w:spacing w:after="20"/>
        <w:jc w:val="center"/>
      </w:pPr>
      <w:r>
        <w:rPr>
          <w:noProof/>
        </w:rPr>
        <w:drawing>
          <wp:inline distT="0" distB="0" distL="0" distR="0" wp14:anchorId="652CA7B8" wp14:editId="0A7D6E31">
            <wp:extent cx="2495550" cy="2231088"/>
            <wp:effectExtent l="0" t="0" r="0" b="0"/>
            <wp:docPr id="6713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7169" name="Picture 671397169"/>
                    <pic:cNvPicPr/>
                  </pic:nvPicPr>
                  <pic:blipFill rotWithShape="1">
                    <a:blip r:embed="rId36" cstate="print">
                      <a:extLst>
                        <a:ext uri="{28A0092B-C50C-407E-A947-70E740481C1C}">
                          <a14:useLocalDpi xmlns:a14="http://schemas.microsoft.com/office/drawing/2010/main" val="0"/>
                        </a:ext>
                      </a:extLst>
                    </a:blip>
                    <a:srcRect t="10597"/>
                    <a:stretch>
                      <a:fillRect/>
                    </a:stretch>
                  </pic:blipFill>
                  <pic:spPr bwMode="auto">
                    <a:xfrm>
                      <a:off x="0" y="0"/>
                      <a:ext cx="2516348" cy="2249682"/>
                    </a:xfrm>
                    <a:prstGeom prst="rect">
                      <a:avLst/>
                    </a:prstGeom>
                    <a:ln>
                      <a:noFill/>
                    </a:ln>
                    <a:extLst>
                      <a:ext uri="{53640926-AAD7-44D8-BBD7-CCE9431645EC}">
                        <a14:shadowObscured xmlns:a14="http://schemas.microsoft.com/office/drawing/2010/main"/>
                      </a:ext>
                    </a:extLst>
                  </pic:spPr>
                </pic:pic>
              </a:graphicData>
            </a:graphic>
          </wp:inline>
        </w:drawing>
      </w:r>
    </w:p>
    <w:p w14:paraId="1539E08E" w14:textId="0A8B7C5F" w:rsidR="00AD70D0" w:rsidRDefault="5216E507" w:rsidP="006E2E32">
      <w:pPr>
        <w:spacing w:after="240"/>
        <w:jc w:val="center"/>
        <w:rPr>
          <w:rFonts w:ascii="Century Gothic" w:eastAsia="Century Gothic" w:hAnsi="Century Gothic" w:cs="Century Gothic"/>
          <w:sz w:val="18"/>
          <w:szCs w:val="18"/>
        </w:rPr>
      </w:pPr>
      <w:r w:rsidRPr="7F6E349C">
        <w:rPr>
          <w:rFonts w:ascii="Century Gothic" w:eastAsia="Century Gothic" w:hAnsi="Century Gothic" w:cs="Century Gothic"/>
          <w:b/>
          <w:bCs/>
          <w:sz w:val="18"/>
          <w:szCs w:val="18"/>
        </w:rPr>
        <w:lastRenderedPageBreak/>
        <w:t xml:space="preserve">Figure </w:t>
      </w:r>
      <w:r w:rsidR="00BB3BD8">
        <w:rPr>
          <w:rFonts w:ascii="Century Gothic" w:eastAsia="Century Gothic" w:hAnsi="Century Gothic" w:cs="Century Gothic"/>
          <w:b/>
          <w:bCs/>
          <w:sz w:val="18"/>
          <w:szCs w:val="18"/>
        </w:rPr>
        <w:t>1</w:t>
      </w:r>
      <w:r w:rsidR="003348B3">
        <w:rPr>
          <w:rFonts w:ascii="Century Gothic" w:eastAsia="Century Gothic" w:hAnsi="Century Gothic" w:cs="Century Gothic"/>
          <w:b/>
          <w:bCs/>
          <w:sz w:val="18"/>
          <w:szCs w:val="18"/>
        </w:rPr>
        <w:t>5</w:t>
      </w:r>
      <w:r w:rsidR="00BB3BD8">
        <w:rPr>
          <w:rFonts w:ascii="Century Gothic" w:eastAsia="Century Gothic" w:hAnsi="Century Gothic" w:cs="Century Gothic"/>
          <w:b/>
          <w:bCs/>
          <w:sz w:val="18"/>
          <w:szCs w:val="18"/>
        </w:rPr>
        <w:t>.</w:t>
      </w:r>
      <w:r w:rsidRPr="7F6E349C">
        <w:rPr>
          <w:rFonts w:ascii="Century Gothic" w:eastAsia="Century Gothic" w:hAnsi="Century Gothic" w:cs="Century Gothic"/>
          <w:sz w:val="18"/>
          <w:szCs w:val="18"/>
        </w:rPr>
        <w:t xml:space="preserve">  </w:t>
      </w:r>
      <w:r w:rsidR="005C64E2" w:rsidRPr="005C64E2">
        <w:rPr>
          <w:rFonts w:ascii="Century Gothic" w:eastAsia="Century Gothic" w:hAnsi="Century Gothic" w:cs="Century Gothic"/>
          <w:sz w:val="18"/>
          <w:szCs w:val="18"/>
        </w:rPr>
        <w:t>Out-of-sample forecasting performance of the SVRX sigmoid model (Testing Phase).</w:t>
      </w:r>
    </w:p>
    <w:p w14:paraId="71292A4E" w14:textId="0C0E3D52" w:rsidR="00AD70D0" w:rsidRDefault="3D03634C" w:rsidP="006E2E32">
      <w:pPr>
        <w:jc w:val="left"/>
        <w:rPr>
          <w:rFonts w:ascii="Century Gothic" w:eastAsia="Century Gothic" w:hAnsi="Century Gothic" w:cs="Century Gothic"/>
          <w:b/>
          <w:bCs/>
          <w:color w:val="7B0D1E"/>
          <w:sz w:val="18"/>
          <w:szCs w:val="18"/>
        </w:rPr>
      </w:pPr>
      <w:proofErr w:type="gramStart"/>
      <w:r w:rsidRPr="7F6E349C">
        <w:rPr>
          <w:rFonts w:ascii="Century Gothic" w:eastAsia="Century Gothic" w:hAnsi="Century Gothic" w:cs="Century Gothic"/>
          <w:b/>
          <w:bCs/>
          <w:color w:val="7B0D1E"/>
          <w:sz w:val="18"/>
          <w:szCs w:val="18"/>
        </w:rPr>
        <w:t>3.4  Comparative</w:t>
      </w:r>
      <w:proofErr w:type="gramEnd"/>
      <w:r w:rsidRPr="7F6E349C">
        <w:rPr>
          <w:rFonts w:ascii="Century Gothic" w:eastAsia="Century Gothic" w:hAnsi="Century Gothic" w:cs="Century Gothic"/>
          <w:b/>
          <w:bCs/>
          <w:color w:val="7B0D1E"/>
          <w:sz w:val="18"/>
          <w:szCs w:val="18"/>
        </w:rPr>
        <w:t xml:space="preserve"> Analysis: Step Function Intervention Model versus SVRX</w:t>
      </w:r>
    </w:p>
    <w:p w14:paraId="0FAA8100" w14:textId="77777777" w:rsidR="00E00D7C" w:rsidRDefault="00E00D7C" w:rsidP="006E2E32">
      <w:pPr>
        <w:jc w:val="left"/>
        <w:rPr>
          <w:rFonts w:ascii="Century Gothic" w:eastAsia="Century Gothic" w:hAnsi="Century Gothic" w:cs="Century Gothic"/>
          <w:b/>
          <w:bCs/>
          <w:color w:val="7B0D1E"/>
          <w:sz w:val="18"/>
          <w:szCs w:val="18"/>
        </w:rPr>
      </w:pPr>
    </w:p>
    <w:p w14:paraId="250DB435" w14:textId="7094D197" w:rsidR="003D1049" w:rsidRDefault="003D1049" w:rsidP="00F3357C">
      <w:pPr>
        <w:spacing w:after="140"/>
        <w:rPr>
          <w:rFonts w:ascii="Century Gothic" w:eastAsia="Century Gothic" w:hAnsi="Century Gothic" w:cs="Century Gothic"/>
          <w:sz w:val="18"/>
          <w:szCs w:val="18"/>
          <w:lang w:val="en-ID"/>
        </w:rPr>
      </w:pPr>
      <w:r w:rsidRPr="003D1049">
        <w:rPr>
          <w:rFonts w:ascii="Century Gothic" w:eastAsia="Century Gothic" w:hAnsi="Century Gothic" w:cs="Century Gothic"/>
          <w:sz w:val="18"/>
          <w:szCs w:val="18"/>
          <w:lang w:val="en-ID"/>
        </w:rPr>
        <w:t>Table 1</w:t>
      </w:r>
      <w:r w:rsidR="00DA0529">
        <w:rPr>
          <w:rFonts w:ascii="Century Gothic" w:eastAsia="Century Gothic" w:hAnsi="Century Gothic" w:cs="Century Gothic"/>
          <w:sz w:val="18"/>
          <w:szCs w:val="18"/>
          <w:lang w:val="en-ID"/>
        </w:rPr>
        <w:t>0</w:t>
      </w:r>
      <w:r w:rsidRPr="003D1049">
        <w:rPr>
          <w:rFonts w:ascii="Century Gothic" w:eastAsia="Century Gothic" w:hAnsi="Century Gothic" w:cs="Century Gothic"/>
          <w:sz w:val="18"/>
          <w:szCs w:val="18"/>
          <w:lang w:val="en-ID"/>
        </w:rPr>
        <w:t xml:space="preserve"> breaks down the out-of-sample evaluation for both models across the 20-observation testing window. The SVRX sigmoid model </w:t>
      </w:r>
      <w:r w:rsidR="00391271" w:rsidRPr="00D16F21">
        <w:rPr>
          <w:rFonts w:ascii="Century Gothic" w:eastAsia="Century Gothic" w:hAnsi="Century Gothic" w:cs="Century Gothic"/>
          <w:sz w:val="18"/>
          <w:szCs w:val="18"/>
          <w:lang w:val="en-ID"/>
        </w:rPr>
        <w:t>(ε = 0.016, C = 124, γ = 0.011</w:t>
      </w:r>
      <w:r w:rsidR="00391271">
        <w:rPr>
          <w:rFonts w:ascii="Century Gothic" w:eastAsia="Century Gothic" w:hAnsi="Century Gothic" w:cs="Century Gothic"/>
          <w:sz w:val="18"/>
          <w:szCs w:val="18"/>
          <w:lang w:val="en-ID"/>
        </w:rPr>
        <w:t xml:space="preserve"> </w:t>
      </w:r>
      <w:r w:rsidRPr="003D1049">
        <w:rPr>
          <w:rFonts w:ascii="Century Gothic" w:eastAsia="Century Gothic" w:hAnsi="Century Gothic" w:cs="Century Gothic"/>
          <w:sz w:val="18"/>
          <w:szCs w:val="18"/>
          <w:lang w:val="en-ID"/>
        </w:rPr>
        <w:t>completely dominated the ARIMA(0,2,1) baseline. It achieved a highly accurate testing MAPE of 3.327%. In contrast, the parametric step function model yielded a low accuracy score of 22.2%. This performance gap translates to an 85.0% relative reduction in percentage error. The SVRX model also slashed the RMSE by 82.9% and the MAE by 86.4%. Because the improvements remain mathematically consistent across every single metric, the results reflect genuine forecasting superiority rather than a statistical fluke.</w:t>
      </w:r>
    </w:p>
    <w:p w14:paraId="0323DEE6" w14:textId="23A31493" w:rsidR="00D16F21" w:rsidRPr="007C1AEC" w:rsidRDefault="00D16F21" w:rsidP="006E2E32">
      <w:pPr>
        <w:spacing w:after="60"/>
        <w:rPr>
          <w:rFonts w:ascii="Century Gothic" w:eastAsia="Century Gothic" w:hAnsi="Century Gothic" w:cs="Century Gothic"/>
          <w:sz w:val="18"/>
          <w:szCs w:val="18"/>
        </w:rPr>
      </w:pPr>
      <w:r>
        <w:rPr>
          <w:rFonts w:ascii="Century Gothic" w:eastAsia="Century Gothic" w:hAnsi="Century Gothic" w:cs="Century Gothic"/>
          <w:b/>
          <w:bCs/>
          <w:sz w:val="18"/>
          <w:szCs w:val="18"/>
        </w:rPr>
        <w:t xml:space="preserve">Table </w:t>
      </w:r>
      <w:r w:rsidR="001E78CA">
        <w:rPr>
          <w:rFonts w:ascii="Century Gothic" w:eastAsia="Century Gothic" w:hAnsi="Century Gothic" w:cs="Century Gothic"/>
          <w:b/>
          <w:bCs/>
          <w:sz w:val="18"/>
          <w:szCs w:val="18"/>
        </w:rPr>
        <w:t>1</w:t>
      </w:r>
      <w:r w:rsidR="00DA0529">
        <w:rPr>
          <w:rFonts w:ascii="Century Gothic" w:eastAsia="Century Gothic" w:hAnsi="Century Gothic" w:cs="Century Gothic"/>
          <w:b/>
          <w:bCs/>
          <w:sz w:val="18"/>
          <w:szCs w:val="18"/>
        </w:rPr>
        <w:t>0</w:t>
      </w:r>
      <w:r w:rsidR="001E78CA">
        <w:rPr>
          <w:rFonts w:ascii="Century Gothic" w:eastAsia="Century Gothic" w:hAnsi="Century Gothic" w:cs="Century Gothic"/>
          <w:b/>
          <w:bCs/>
          <w:sz w:val="18"/>
          <w:szCs w:val="18"/>
        </w:rPr>
        <w:t>.</w:t>
      </w:r>
      <w:r>
        <w:rPr>
          <w:rFonts w:ascii="Century Gothic" w:eastAsia="Century Gothic" w:hAnsi="Century Gothic" w:cs="Century Gothic"/>
          <w:b/>
          <w:bCs/>
          <w:sz w:val="18"/>
          <w:szCs w:val="18"/>
        </w:rPr>
        <w:t xml:space="preserve"> </w:t>
      </w:r>
      <w:r w:rsidRPr="007C1AEC">
        <w:rPr>
          <w:rFonts w:ascii="Century Gothic" w:eastAsia="Century Gothic" w:hAnsi="Century Gothic" w:cs="Century Gothic"/>
          <w:sz w:val="18"/>
          <w:szCs w:val="18"/>
        </w:rPr>
        <w:t>Out-of-sample forecasting performance</w:t>
      </w:r>
    </w:p>
    <w:tbl>
      <w:tblPr>
        <w:tblStyle w:val="TableGrid"/>
        <w:tblW w:w="478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4"/>
        <w:gridCol w:w="849"/>
        <w:gridCol w:w="849"/>
        <w:gridCol w:w="649"/>
        <w:gridCol w:w="1120"/>
      </w:tblGrid>
      <w:tr w:rsidR="001417C9" w14:paraId="055C6541" w14:textId="77777777" w:rsidTr="001417C9">
        <w:trPr>
          <w:cantSplit/>
          <w:trHeight w:val="1134"/>
        </w:trPr>
        <w:tc>
          <w:tcPr>
            <w:tcW w:w="1314" w:type="dxa"/>
            <w:tcBorders>
              <w:top w:val="single" w:sz="4" w:space="0" w:color="auto"/>
              <w:bottom w:val="single" w:sz="4" w:space="0" w:color="auto"/>
            </w:tcBorders>
            <w:shd w:val="clear" w:color="auto" w:fill="FFFFFF" w:themeFill="background1"/>
            <w:tcMar>
              <w:top w:w="60" w:type="dxa"/>
              <w:left w:w="100" w:type="dxa"/>
              <w:bottom w:w="60" w:type="dxa"/>
              <w:right w:w="100" w:type="dxa"/>
            </w:tcMar>
            <w:vAlign w:val="center"/>
          </w:tcPr>
          <w:p w14:paraId="122AC2F2" w14:textId="77777777" w:rsidR="00D16F21" w:rsidRDefault="00D16F21" w:rsidP="006E2E32">
            <w:pPr>
              <w:jc w:val="left"/>
              <w:rPr>
                <w:rFonts w:ascii="Century Gothic" w:eastAsia="Century Gothic" w:hAnsi="Century Gothic" w:cs="Century Gothic"/>
                <w:b/>
                <w:bCs/>
                <w:sz w:val="18"/>
                <w:szCs w:val="18"/>
              </w:rPr>
            </w:pPr>
            <w:r>
              <w:rPr>
                <w:rFonts w:ascii="Century Gothic" w:eastAsia="Century Gothic" w:hAnsi="Century Gothic" w:cs="Century Gothic"/>
                <w:b/>
                <w:bCs/>
                <w:sz w:val="18"/>
                <w:szCs w:val="18"/>
              </w:rPr>
              <w:t>Model</w:t>
            </w:r>
          </w:p>
        </w:tc>
        <w:tc>
          <w:tcPr>
            <w:tcW w:w="849"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0D8589E6" w14:textId="77777777" w:rsidR="00D16F21" w:rsidRDefault="00D16F21" w:rsidP="006E2E32">
            <w:pPr>
              <w:ind w:left="113" w:right="113"/>
              <w:jc w:val="center"/>
              <w:rPr>
                <w:rFonts w:ascii="Century Gothic" w:eastAsia="Century Gothic" w:hAnsi="Century Gothic" w:cs="Century Gothic"/>
                <w:b/>
                <w:bCs/>
                <w:sz w:val="18"/>
                <w:szCs w:val="18"/>
              </w:rPr>
            </w:pPr>
            <w:r>
              <w:rPr>
                <w:rFonts w:ascii="Century Gothic" w:eastAsia="Century Gothic" w:hAnsi="Century Gothic" w:cs="Century Gothic"/>
                <w:b/>
                <w:bCs/>
                <w:sz w:val="18"/>
                <w:szCs w:val="18"/>
              </w:rPr>
              <w:t>MAE (IDR)</w:t>
            </w:r>
          </w:p>
        </w:tc>
        <w:tc>
          <w:tcPr>
            <w:tcW w:w="849"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5707E7B6" w14:textId="77777777" w:rsidR="00D16F21" w:rsidRDefault="00D16F21" w:rsidP="006E2E32">
            <w:pPr>
              <w:ind w:left="113" w:right="113"/>
              <w:jc w:val="center"/>
              <w:rPr>
                <w:rFonts w:ascii="Century Gothic" w:eastAsia="Century Gothic" w:hAnsi="Century Gothic" w:cs="Century Gothic"/>
                <w:b/>
                <w:bCs/>
                <w:sz w:val="18"/>
                <w:szCs w:val="18"/>
              </w:rPr>
            </w:pPr>
            <w:r>
              <w:rPr>
                <w:rFonts w:ascii="Century Gothic" w:eastAsia="Century Gothic" w:hAnsi="Century Gothic" w:cs="Century Gothic"/>
                <w:b/>
                <w:bCs/>
                <w:sz w:val="18"/>
                <w:szCs w:val="18"/>
              </w:rPr>
              <w:t>RMSE (IDR)</w:t>
            </w:r>
          </w:p>
        </w:tc>
        <w:tc>
          <w:tcPr>
            <w:tcW w:w="649"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655122EE" w14:textId="77777777" w:rsidR="00D16F21" w:rsidRDefault="00D16F21" w:rsidP="006E2E32">
            <w:pPr>
              <w:ind w:left="113" w:right="113"/>
              <w:jc w:val="center"/>
              <w:rPr>
                <w:rFonts w:ascii="Century Gothic" w:eastAsia="Century Gothic" w:hAnsi="Century Gothic" w:cs="Century Gothic"/>
                <w:b/>
                <w:bCs/>
                <w:sz w:val="18"/>
                <w:szCs w:val="18"/>
              </w:rPr>
            </w:pPr>
            <w:r>
              <w:rPr>
                <w:rFonts w:ascii="Century Gothic" w:eastAsia="Century Gothic" w:hAnsi="Century Gothic" w:cs="Century Gothic"/>
                <w:b/>
                <w:bCs/>
                <w:sz w:val="18"/>
                <w:szCs w:val="18"/>
              </w:rPr>
              <w:t>MAPE (%)</w:t>
            </w:r>
          </w:p>
        </w:tc>
        <w:tc>
          <w:tcPr>
            <w:tcW w:w="1120" w:type="dxa"/>
            <w:tcBorders>
              <w:top w:val="single" w:sz="4" w:space="0" w:color="auto"/>
              <w:bottom w:val="single" w:sz="4" w:space="0" w:color="auto"/>
            </w:tcBorders>
            <w:shd w:val="clear" w:color="auto" w:fill="FFFFFF" w:themeFill="background1"/>
            <w:tcMar>
              <w:top w:w="60" w:type="dxa"/>
              <w:left w:w="100" w:type="dxa"/>
              <w:bottom w:w="60" w:type="dxa"/>
              <w:right w:w="100" w:type="dxa"/>
            </w:tcMar>
            <w:textDirection w:val="tbRl"/>
            <w:vAlign w:val="center"/>
          </w:tcPr>
          <w:p w14:paraId="74B6014A" w14:textId="77777777" w:rsidR="00D16F21" w:rsidRDefault="00D16F21" w:rsidP="006E2E32">
            <w:pPr>
              <w:ind w:left="113" w:right="113"/>
              <w:jc w:val="center"/>
              <w:rPr>
                <w:rFonts w:ascii="Century Gothic" w:eastAsia="Century Gothic" w:hAnsi="Century Gothic" w:cs="Century Gothic"/>
                <w:b/>
                <w:bCs/>
                <w:sz w:val="18"/>
                <w:szCs w:val="18"/>
              </w:rPr>
            </w:pPr>
            <w:r>
              <w:rPr>
                <w:rFonts w:ascii="Century Gothic" w:eastAsia="Century Gothic" w:hAnsi="Century Gothic" w:cs="Century Gothic"/>
                <w:b/>
                <w:bCs/>
                <w:sz w:val="18"/>
                <w:szCs w:val="18"/>
              </w:rPr>
              <w:t>Accuracy Rating</w:t>
            </w:r>
          </w:p>
        </w:tc>
      </w:tr>
      <w:tr w:rsidR="001417C9" w14:paraId="3DF3E2B8" w14:textId="77777777" w:rsidTr="001417C9">
        <w:trPr>
          <w:trHeight w:val="300"/>
        </w:trPr>
        <w:tc>
          <w:tcPr>
            <w:tcW w:w="1314" w:type="dxa"/>
            <w:tcBorders>
              <w:top w:val="single" w:sz="4" w:space="0" w:color="auto"/>
            </w:tcBorders>
            <w:shd w:val="clear" w:color="auto" w:fill="FFFFFF" w:themeFill="background1"/>
            <w:tcMar>
              <w:top w:w="60" w:type="dxa"/>
              <w:left w:w="100" w:type="dxa"/>
              <w:bottom w:w="60" w:type="dxa"/>
              <w:right w:w="100" w:type="dxa"/>
            </w:tcMar>
            <w:vAlign w:val="center"/>
          </w:tcPr>
          <w:p w14:paraId="44A51B58" w14:textId="77777777" w:rsidR="00D16F21" w:rsidRDefault="00D16F21" w:rsidP="006E2E32">
            <w:pPr>
              <w:jc w:val="left"/>
              <w:rPr>
                <w:rFonts w:ascii="Century Gothic" w:eastAsia="Century Gothic" w:hAnsi="Century Gothic" w:cs="Century Gothic"/>
                <w:sz w:val="18"/>
                <w:szCs w:val="18"/>
              </w:rPr>
            </w:pPr>
            <w:proofErr w:type="gramStart"/>
            <w:r>
              <w:rPr>
                <w:rFonts w:ascii="Century Gothic" w:eastAsia="Century Gothic" w:hAnsi="Century Gothic" w:cs="Century Gothic"/>
                <w:sz w:val="18"/>
                <w:szCs w:val="18"/>
              </w:rPr>
              <w:t>ARIMA(</w:t>
            </w:r>
            <w:proofErr w:type="gramEnd"/>
            <w:r>
              <w:rPr>
                <w:rFonts w:ascii="Century Gothic" w:eastAsia="Century Gothic" w:hAnsi="Century Gothic" w:cs="Century Gothic"/>
                <w:sz w:val="18"/>
                <w:szCs w:val="18"/>
              </w:rPr>
              <w:t>0,2,1) Step Function Intervention (b=0, r=2, s=0)</w:t>
            </w:r>
          </w:p>
        </w:tc>
        <w:tc>
          <w:tcPr>
            <w:tcW w:w="849" w:type="dxa"/>
            <w:tcBorders>
              <w:top w:val="single" w:sz="4" w:space="0" w:color="auto"/>
            </w:tcBorders>
            <w:shd w:val="clear" w:color="auto" w:fill="FFFFFF" w:themeFill="background1"/>
            <w:tcMar>
              <w:top w:w="60" w:type="dxa"/>
              <w:left w:w="100" w:type="dxa"/>
              <w:bottom w:w="60" w:type="dxa"/>
              <w:right w:w="100" w:type="dxa"/>
            </w:tcMar>
            <w:vAlign w:val="center"/>
          </w:tcPr>
          <w:p w14:paraId="0D16E9AC"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1,470.3</w:t>
            </w:r>
          </w:p>
        </w:tc>
        <w:tc>
          <w:tcPr>
            <w:tcW w:w="849" w:type="dxa"/>
            <w:tcBorders>
              <w:top w:val="single" w:sz="4" w:space="0" w:color="auto"/>
            </w:tcBorders>
            <w:shd w:val="clear" w:color="auto" w:fill="FFFFFF" w:themeFill="background1"/>
            <w:tcMar>
              <w:top w:w="60" w:type="dxa"/>
              <w:left w:w="100" w:type="dxa"/>
              <w:bottom w:w="60" w:type="dxa"/>
              <w:right w:w="100" w:type="dxa"/>
            </w:tcMar>
            <w:vAlign w:val="center"/>
          </w:tcPr>
          <w:p w14:paraId="430F11C6"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1,583.7</w:t>
            </w:r>
          </w:p>
        </w:tc>
        <w:tc>
          <w:tcPr>
            <w:tcW w:w="649" w:type="dxa"/>
            <w:tcBorders>
              <w:top w:val="single" w:sz="4" w:space="0" w:color="auto"/>
            </w:tcBorders>
            <w:shd w:val="clear" w:color="auto" w:fill="FFFFFF" w:themeFill="background1"/>
            <w:tcMar>
              <w:top w:w="60" w:type="dxa"/>
              <w:left w:w="100" w:type="dxa"/>
              <w:bottom w:w="60" w:type="dxa"/>
              <w:right w:w="100" w:type="dxa"/>
            </w:tcMar>
            <w:vAlign w:val="center"/>
          </w:tcPr>
          <w:p w14:paraId="3429ABCD"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22.2</w:t>
            </w:r>
          </w:p>
        </w:tc>
        <w:tc>
          <w:tcPr>
            <w:tcW w:w="1120" w:type="dxa"/>
            <w:tcBorders>
              <w:top w:val="single" w:sz="4" w:space="0" w:color="auto"/>
            </w:tcBorders>
            <w:shd w:val="clear" w:color="auto" w:fill="FFFFFF" w:themeFill="background1"/>
            <w:tcMar>
              <w:top w:w="60" w:type="dxa"/>
              <w:left w:w="100" w:type="dxa"/>
              <w:bottom w:w="60" w:type="dxa"/>
              <w:right w:w="100" w:type="dxa"/>
            </w:tcMar>
            <w:vAlign w:val="center"/>
          </w:tcPr>
          <w:p w14:paraId="3DB0AD44"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Low Accuracy</w:t>
            </w:r>
          </w:p>
        </w:tc>
      </w:tr>
      <w:tr w:rsidR="001417C9" w14:paraId="12D7FA96" w14:textId="77777777" w:rsidTr="001417C9">
        <w:trPr>
          <w:trHeight w:val="300"/>
        </w:trPr>
        <w:tc>
          <w:tcPr>
            <w:tcW w:w="1314" w:type="dxa"/>
            <w:shd w:val="clear" w:color="auto" w:fill="FFFFFF" w:themeFill="background1"/>
            <w:tcMar>
              <w:top w:w="60" w:type="dxa"/>
              <w:left w:w="100" w:type="dxa"/>
              <w:bottom w:w="60" w:type="dxa"/>
              <w:right w:w="100" w:type="dxa"/>
            </w:tcMar>
            <w:vAlign w:val="center"/>
          </w:tcPr>
          <w:p w14:paraId="504D7E97" w14:textId="77777777" w:rsidR="00D16F21" w:rsidRDefault="00D16F21" w:rsidP="006E2E32">
            <w:pPr>
              <w:jc w:val="left"/>
              <w:rPr>
                <w:rFonts w:ascii="Century Gothic" w:eastAsia="Century Gothic" w:hAnsi="Century Gothic" w:cs="Century Gothic"/>
                <w:sz w:val="18"/>
                <w:szCs w:val="18"/>
              </w:rPr>
            </w:pPr>
            <w:r>
              <w:rPr>
                <w:rFonts w:ascii="Century Gothic" w:eastAsia="Century Gothic" w:hAnsi="Century Gothic" w:cs="Century Gothic"/>
                <w:sz w:val="18"/>
                <w:szCs w:val="18"/>
              </w:rPr>
              <w:t>SVRX Sigmoid (ε=0.016, C=124, γ=0.011)</w:t>
            </w:r>
          </w:p>
        </w:tc>
        <w:tc>
          <w:tcPr>
            <w:tcW w:w="849" w:type="dxa"/>
            <w:shd w:val="clear" w:color="auto" w:fill="FFFFFF" w:themeFill="background1"/>
            <w:tcMar>
              <w:top w:w="60" w:type="dxa"/>
              <w:left w:w="100" w:type="dxa"/>
              <w:bottom w:w="60" w:type="dxa"/>
              <w:right w:w="100" w:type="dxa"/>
            </w:tcMar>
            <w:vAlign w:val="center"/>
          </w:tcPr>
          <w:p w14:paraId="47FE4737"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200.664</w:t>
            </w:r>
          </w:p>
        </w:tc>
        <w:tc>
          <w:tcPr>
            <w:tcW w:w="849" w:type="dxa"/>
            <w:shd w:val="clear" w:color="auto" w:fill="FFFFFF" w:themeFill="background1"/>
            <w:tcMar>
              <w:top w:w="60" w:type="dxa"/>
              <w:left w:w="100" w:type="dxa"/>
              <w:bottom w:w="60" w:type="dxa"/>
              <w:right w:w="100" w:type="dxa"/>
            </w:tcMar>
            <w:vAlign w:val="center"/>
          </w:tcPr>
          <w:p w14:paraId="00FED317"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271.494</w:t>
            </w:r>
          </w:p>
        </w:tc>
        <w:tc>
          <w:tcPr>
            <w:tcW w:w="649" w:type="dxa"/>
            <w:shd w:val="clear" w:color="auto" w:fill="FFFFFF" w:themeFill="background1"/>
            <w:tcMar>
              <w:top w:w="60" w:type="dxa"/>
              <w:left w:w="100" w:type="dxa"/>
              <w:bottom w:w="60" w:type="dxa"/>
              <w:right w:w="100" w:type="dxa"/>
            </w:tcMar>
            <w:vAlign w:val="center"/>
          </w:tcPr>
          <w:p w14:paraId="4AF4BF1E"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3.327</w:t>
            </w:r>
          </w:p>
        </w:tc>
        <w:tc>
          <w:tcPr>
            <w:tcW w:w="1120" w:type="dxa"/>
            <w:shd w:val="clear" w:color="auto" w:fill="FFFFFF" w:themeFill="background1"/>
            <w:tcMar>
              <w:top w:w="60" w:type="dxa"/>
              <w:left w:w="100" w:type="dxa"/>
              <w:bottom w:w="60" w:type="dxa"/>
              <w:right w:w="100" w:type="dxa"/>
            </w:tcMar>
            <w:vAlign w:val="center"/>
          </w:tcPr>
          <w:p w14:paraId="2A54D0B8" w14:textId="77777777" w:rsidR="00D16F21" w:rsidRDefault="00D16F21" w:rsidP="006E2E32">
            <w:pPr>
              <w:jc w:val="center"/>
              <w:rPr>
                <w:rFonts w:ascii="Century Gothic" w:eastAsia="Century Gothic" w:hAnsi="Century Gothic" w:cs="Century Gothic"/>
                <w:sz w:val="18"/>
                <w:szCs w:val="18"/>
              </w:rPr>
            </w:pPr>
            <w:r>
              <w:rPr>
                <w:rFonts w:ascii="Century Gothic" w:eastAsia="Century Gothic" w:hAnsi="Century Gothic" w:cs="Century Gothic"/>
                <w:sz w:val="18"/>
                <w:szCs w:val="18"/>
              </w:rPr>
              <w:t>Highly Accurate</w:t>
            </w:r>
          </w:p>
        </w:tc>
      </w:tr>
    </w:tbl>
    <w:p w14:paraId="46736B29" w14:textId="47512651" w:rsidR="001C72D3" w:rsidRDefault="00B45895" w:rsidP="006E2E32">
      <w:pPr>
        <w:spacing w:after="140"/>
        <w:ind w:firstLine="284"/>
        <w:rPr>
          <w:rFonts w:ascii="Century Gothic" w:eastAsia="Century Gothic" w:hAnsi="Century Gothic" w:cs="Century Gothic"/>
          <w:sz w:val="18"/>
          <w:szCs w:val="18"/>
          <w:lang w:val="en-ID"/>
        </w:rPr>
      </w:pPr>
      <w:r w:rsidRPr="00B45895">
        <w:rPr>
          <w:rFonts w:ascii="Century Gothic" w:eastAsia="Century Gothic" w:hAnsi="Century Gothic" w:cs="Century Gothic"/>
          <w:sz w:val="18"/>
          <w:szCs w:val="18"/>
          <w:lang w:val="en-ID"/>
        </w:rPr>
        <w:t xml:space="preserve">Two specific properties of the INCO dataset drive this massive performance gap. The underlying stock prices exhibit severe heteroscedasticity and strict nonlinearity. The ARIMA framework fundamentally assumes data remains linear and homoscedastic. When forced to process the volatile INCO series, these rigid assumptions naturally trigger systematic misspecification bias. Tweaking the intervention variables cannot fix this core flaw. The SVRX sigmoid kernel bypasses both problems at once. It utilizes an </w:t>
      </w:r>
      <m:oMath>
        <m:r>
          <w:rPr>
            <w:rFonts w:ascii="Cambria Math" w:eastAsia="Century Gothic" w:hAnsi="Cambria Math" w:cs="Century Gothic"/>
            <w:sz w:val="18"/>
            <w:szCs w:val="18"/>
            <w:lang w:val="en-ID"/>
          </w:rPr>
          <m:t>ϵ</m:t>
        </m:r>
      </m:oMath>
      <w:r w:rsidR="0021044B">
        <w:rPr>
          <w:rFonts w:ascii="Century Gothic" w:eastAsia="Century Gothic" w:hAnsi="Century Gothic" w:cs="Century Gothic"/>
          <w:sz w:val="18"/>
          <w:szCs w:val="18"/>
          <w:lang w:val="en-ID"/>
        </w:rPr>
        <w:t>-</w:t>
      </w:r>
      <w:r w:rsidRPr="00B45895">
        <w:rPr>
          <w:rFonts w:ascii="Century Gothic" w:eastAsia="Century Gothic" w:hAnsi="Century Gothic" w:cs="Century Gothic"/>
          <w:sz w:val="18"/>
          <w:szCs w:val="18"/>
          <w:lang w:val="en-ID"/>
        </w:rPr>
        <w:t>insensitive loss function that naturally resists time-varying variance. At the same time, its kernel mapping successfully traces the complex, nonlinear shifts between regimes that a standard step function completely misses. This outcome aligns perfectly with older studies showing SVR consistently beats ARIMA when predicting highly volatile Indonesian stocks [14, 15]. Despite its poor forecasting accuracy, the ARIMA model still offers one major advantage. It provides total transparency. Its specific parameters</w:t>
      </w:r>
      <w:r w:rsidR="00EA736A">
        <w:rPr>
          <w:rFonts w:ascii="Century Gothic" w:eastAsia="Century Gothic" w:hAnsi="Century Gothic" w:cs="Century Gothic"/>
          <w:sz w:val="18"/>
          <w:szCs w:val="18"/>
          <w:lang w:val="en-ID"/>
        </w:rPr>
        <w:t xml:space="preserve"> (</w:t>
      </w:r>
      <m:oMath>
        <m:sSub>
          <m:sSubPr>
            <m:ctrlPr>
              <w:rPr>
                <w:rFonts w:ascii="Cambria Math" w:eastAsia="Century Gothic" w:hAnsi="Cambria Math" w:cs="Century Gothic"/>
                <w:i/>
                <w:sz w:val="18"/>
                <w:szCs w:val="18"/>
                <w:lang w:val="en-ID"/>
              </w:rPr>
            </m:ctrlPr>
          </m:sSubPr>
          <m:e>
            <m:r>
              <w:rPr>
                <w:rFonts w:ascii="Cambria Math" w:eastAsia="Century Gothic" w:hAnsi="Cambria Math" w:cs="Century Gothic"/>
                <w:sz w:val="18"/>
                <w:szCs w:val="18"/>
                <w:lang w:val="en-ID"/>
              </w:rPr>
              <m:t>ω</m:t>
            </m:r>
          </m:e>
          <m:sub>
            <m:r>
              <w:rPr>
                <w:rFonts w:ascii="Cambria Math" w:eastAsia="Century Gothic" w:hAnsi="Cambria Math" w:cs="Century Gothic"/>
                <w:sz w:val="18"/>
                <w:szCs w:val="18"/>
                <w:lang w:val="en-ID"/>
              </w:rPr>
              <m:t>0</m:t>
            </m:r>
          </m:sub>
        </m:sSub>
        <m:r>
          <m:rPr>
            <m:sty m:val="p"/>
          </m:rPr>
          <w:rPr>
            <w:rFonts w:ascii="Cambria Math" w:eastAsia="Century Gothic" w:hAnsi="Cambria Math" w:cs="Century Gothic"/>
            <w:sz w:val="18"/>
            <w:szCs w:val="18"/>
            <w:lang w:val="en-ID"/>
          </w:rPr>
          <m:t>= -0.095,</m:t>
        </m:r>
        <m:sSub>
          <m:sSubPr>
            <m:ctrlPr>
              <w:rPr>
                <w:rFonts w:ascii="Cambria Math" w:eastAsia="Century Gothic" w:hAnsi="Cambria Math" w:cs="Century Gothic"/>
                <w:sz w:val="18"/>
                <w:szCs w:val="18"/>
                <w:lang w:val="en-ID"/>
              </w:rPr>
            </m:ctrlPr>
          </m:sSubPr>
          <m:e>
            <m:r>
              <w:rPr>
                <w:rFonts w:ascii="Cambria Math" w:eastAsia="Century Gothic" w:hAnsi="Cambria Math" w:cs="Century Gothic"/>
                <w:sz w:val="18"/>
                <w:szCs w:val="18"/>
                <w:lang w:val="en-ID"/>
              </w:rPr>
              <m:t>δ</m:t>
            </m:r>
          </m:e>
          <m:sub>
            <m:r>
              <w:rPr>
                <w:rFonts w:ascii="Cambria Math" w:eastAsia="Century Gothic" w:hAnsi="Cambria Math" w:cs="Century Gothic"/>
                <w:sz w:val="18"/>
                <w:szCs w:val="18"/>
                <w:lang w:val="en-ID"/>
              </w:rPr>
              <m:t>1</m:t>
            </m:r>
          </m:sub>
        </m:sSub>
        <m:r>
          <m:rPr>
            <m:sty m:val="p"/>
          </m:rPr>
          <w:rPr>
            <w:rFonts w:ascii="Cambria Math" w:eastAsia="Century Gothic" w:hAnsi="Cambria Math" w:cs="Century Gothic"/>
            <w:sz w:val="18"/>
            <w:szCs w:val="18"/>
            <w:lang w:val="en-ID"/>
          </w:rPr>
          <m:t xml:space="preserve">= 0.022, </m:t>
        </m:r>
        <m:sSub>
          <m:sSubPr>
            <m:ctrlPr>
              <w:rPr>
                <w:rFonts w:ascii="Cambria Math" w:eastAsia="Century Gothic" w:hAnsi="Cambria Math" w:cs="Century Gothic"/>
                <w:sz w:val="18"/>
                <w:szCs w:val="18"/>
                <w:lang w:val="en-ID"/>
              </w:rPr>
            </m:ctrlPr>
          </m:sSubPr>
          <m:e>
            <m:r>
              <w:rPr>
                <w:rFonts w:ascii="Cambria Math" w:eastAsia="Century Gothic" w:hAnsi="Cambria Math" w:cs="Century Gothic"/>
                <w:sz w:val="18"/>
                <w:szCs w:val="18"/>
                <w:lang w:val="en-ID"/>
              </w:rPr>
              <m:t>δ</m:t>
            </m:r>
          </m:e>
          <m:sub>
            <m:r>
              <w:rPr>
                <w:rFonts w:ascii="Cambria Math" w:eastAsia="Century Gothic" w:hAnsi="Cambria Math" w:cs="Century Gothic"/>
                <w:sz w:val="18"/>
                <w:szCs w:val="18"/>
                <w:lang w:val="en-ID"/>
              </w:rPr>
              <m:t>2</m:t>
            </m:r>
          </m:sub>
        </m:sSub>
        <m:r>
          <m:rPr>
            <m:sty m:val="p"/>
          </m:rPr>
          <w:rPr>
            <w:rFonts w:ascii="Cambria Math" w:eastAsia="Century Gothic" w:hAnsi="Cambria Math" w:cs="Century Gothic"/>
            <w:sz w:val="18"/>
            <w:szCs w:val="18"/>
            <w:lang w:val="en-ID"/>
          </w:rPr>
          <m:t>= 1.352</m:t>
        </m:r>
      </m:oMath>
      <w:r w:rsidR="00EA736A">
        <w:rPr>
          <w:rFonts w:ascii="Century Gothic" w:eastAsia="Century Gothic" w:hAnsi="Century Gothic" w:cs="Century Gothic"/>
          <w:sz w:val="18"/>
          <w:szCs w:val="18"/>
          <w:lang w:val="en-ID"/>
        </w:rPr>
        <w:t xml:space="preserve">, </w:t>
      </w:r>
      <w:r w:rsidRPr="00B45895">
        <w:rPr>
          <w:rFonts w:ascii="Century Gothic" w:eastAsia="Century Gothic" w:hAnsi="Century Gothic" w:cs="Century Gothic"/>
          <w:sz w:val="18"/>
          <w:szCs w:val="18"/>
          <w:lang w:val="en-ID"/>
        </w:rPr>
        <w:t xml:space="preserve">all </w:t>
      </w:r>
      <m:oMath>
        <m:r>
          <w:rPr>
            <w:rFonts w:ascii="Cambria Math" w:eastAsia="Century Gothic" w:hAnsi="Cambria Math" w:cs="Century Gothic"/>
            <w:sz w:val="18"/>
            <w:szCs w:val="18"/>
            <w:lang w:val="en-ID"/>
          </w:rPr>
          <m:t>p &lt; 0.01</m:t>
        </m:r>
      </m:oMath>
      <w:r w:rsidRPr="00B45895">
        <w:rPr>
          <w:rFonts w:ascii="Century Gothic" w:eastAsia="Century Gothic" w:hAnsi="Century Gothic" w:cs="Century Gothic"/>
          <w:sz w:val="18"/>
          <w:szCs w:val="18"/>
          <w:lang w:val="en-ID"/>
        </w:rPr>
        <w:t xml:space="preserve">) directly measure the exact magnitude of the policy-induced </w:t>
      </w:r>
      <w:r w:rsidRPr="00B45895">
        <w:rPr>
          <w:rFonts w:ascii="Century Gothic" w:eastAsia="Century Gothic" w:hAnsi="Century Gothic" w:cs="Century Gothic"/>
          <w:sz w:val="18"/>
          <w:szCs w:val="18"/>
          <w:lang w:val="en-ID"/>
        </w:rPr>
        <w:t>price shift. The nonparametric SVRX architecture operates as a black box and lacks the ability to explicitly quantify these economic impacts.</w:t>
      </w:r>
    </w:p>
    <w:p w14:paraId="0EDC6817" w14:textId="3CF2F9FB" w:rsidR="00AD70D0" w:rsidRDefault="00D16F21" w:rsidP="006E2E32">
      <w:pPr>
        <w:spacing w:after="40"/>
        <w:jc w:val="left"/>
        <w:rPr>
          <w:rFonts w:ascii="Century Gothic" w:eastAsia="Century Gothic" w:hAnsi="Century Gothic" w:cs="Century Gothic"/>
          <w:sz w:val="18"/>
          <w:szCs w:val="18"/>
        </w:rPr>
      </w:pPr>
      <w:r>
        <w:rPr>
          <w:noProof/>
        </w:rPr>
        <w:drawing>
          <wp:inline distT="0" distB="0" distL="0" distR="0" wp14:anchorId="506CE1C2" wp14:editId="1D9C267E">
            <wp:extent cx="2965702" cy="2052564"/>
            <wp:effectExtent l="0" t="0" r="0" b="5080"/>
            <wp:docPr id="235954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26994" name=""/>
                    <pic:cNvPicPr/>
                  </pic:nvPicPr>
                  <pic:blipFill rotWithShape="1">
                    <a:blip r:embed="rId9" cstate="print">
                      <a:extLst>
                        <a:ext uri="{28A0092B-C50C-407E-A947-70E740481C1C}">
                          <a14:useLocalDpi xmlns:a14="http://schemas.microsoft.com/office/drawing/2010/main" val="0"/>
                        </a:ext>
                      </a:extLst>
                    </a:blip>
                    <a:srcRect t="5403"/>
                    <a:stretch>
                      <a:fillRect/>
                    </a:stretch>
                  </pic:blipFill>
                  <pic:spPr bwMode="auto">
                    <a:xfrm>
                      <a:off x="0" y="0"/>
                      <a:ext cx="2966085" cy="2052829"/>
                    </a:xfrm>
                    <a:prstGeom prst="rect">
                      <a:avLst/>
                    </a:prstGeom>
                    <a:ln>
                      <a:noFill/>
                    </a:ln>
                    <a:extLst>
                      <a:ext uri="{53640926-AAD7-44D8-BBD7-CCE9431645EC}">
                        <a14:shadowObscured xmlns:a14="http://schemas.microsoft.com/office/drawing/2010/main"/>
                      </a:ext>
                    </a:extLst>
                  </pic:spPr>
                </pic:pic>
              </a:graphicData>
            </a:graphic>
          </wp:inline>
        </w:drawing>
      </w:r>
    </w:p>
    <w:p w14:paraId="5B31CDC2" w14:textId="17A74ABF" w:rsidR="00AD70D0" w:rsidRPr="00D16F21" w:rsidRDefault="00D16F21" w:rsidP="006E2E32">
      <w:pPr>
        <w:spacing w:after="140"/>
        <w:rPr>
          <w:rFonts w:ascii="Century Gothic" w:eastAsia="Century Gothic" w:hAnsi="Century Gothic" w:cs="Century Gothic"/>
          <w:sz w:val="18"/>
          <w:szCs w:val="18"/>
        </w:rPr>
      </w:pPr>
      <w:r w:rsidRPr="7F6E349C">
        <w:rPr>
          <w:rFonts w:ascii="Century Gothic" w:eastAsia="Century Gothic" w:hAnsi="Century Gothic" w:cs="Century Gothic"/>
          <w:b/>
          <w:bCs/>
          <w:sz w:val="18"/>
          <w:szCs w:val="18"/>
        </w:rPr>
        <w:t xml:space="preserve">Figure </w:t>
      </w:r>
      <w:r w:rsidR="00BB3BD8">
        <w:rPr>
          <w:rFonts w:ascii="Century Gothic" w:eastAsia="Century Gothic" w:hAnsi="Century Gothic" w:cs="Century Gothic"/>
          <w:b/>
          <w:bCs/>
          <w:sz w:val="18"/>
          <w:szCs w:val="18"/>
        </w:rPr>
        <w:t>1</w:t>
      </w:r>
      <w:r w:rsidR="009C20F1">
        <w:rPr>
          <w:rFonts w:ascii="Century Gothic" w:eastAsia="Century Gothic" w:hAnsi="Century Gothic" w:cs="Century Gothic"/>
          <w:b/>
          <w:bCs/>
          <w:sz w:val="18"/>
          <w:szCs w:val="18"/>
        </w:rPr>
        <w:t>6</w:t>
      </w:r>
      <w:r w:rsidR="00BB3BD8">
        <w:rPr>
          <w:rFonts w:ascii="Century Gothic" w:eastAsia="Century Gothic" w:hAnsi="Century Gothic" w:cs="Century Gothic"/>
          <w:b/>
          <w:bCs/>
          <w:sz w:val="18"/>
          <w:szCs w:val="18"/>
        </w:rPr>
        <w:t>.</w:t>
      </w:r>
      <w:r w:rsidR="005C64E2">
        <w:rPr>
          <w:rFonts w:ascii="Century Gothic" w:eastAsia="Century Gothic" w:hAnsi="Century Gothic" w:cs="Century Gothic"/>
          <w:sz w:val="18"/>
          <w:szCs w:val="18"/>
        </w:rPr>
        <w:t xml:space="preserve"> </w:t>
      </w:r>
      <w:r w:rsidR="005C64E2" w:rsidRPr="005C64E2">
        <w:rPr>
          <w:rFonts w:ascii="Century Gothic" w:eastAsia="Century Gothic" w:hAnsi="Century Gothic" w:cs="Century Gothic"/>
          <w:sz w:val="18"/>
          <w:szCs w:val="18"/>
        </w:rPr>
        <w:t>Comparative testing-phase predictions: Actual vs. Step Function Intervention vs. SVRX sigmoid.</w:t>
      </w:r>
    </w:p>
    <w:p w14:paraId="20AF6C49" w14:textId="77777777" w:rsidR="006432E2" w:rsidRPr="00BB3F74" w:rsidRDefault="006432E2" w:rsidP="006E2E32">
      <w:pPr>
        <w:pStyle w:val="TAMainText"/>
        <w:spacing w:line="240" w:lineRule="auto"/>
        <w:ind w:firstLine="0"/>
        <w:rPr>
          <w:rFonts w:ascii="Century Gothic" w:hAnsi="Century Gothic"/>
          <w:b/>
          <w:color w:val="943634"/>
          <w:sz w:val="22"/>
          <w:szCs w:val="22"/>
        </w:rPr>
      </w:pPr>
      <w:proofErr w:type="gramStart"/>
      <w:r w:rsidRPr="00BB3F74">
        <w:rPr>
          <w:rFonts w:ascii="Century Gothic" w:hAnsi="Century Gothic"/>
          <w:b/>
          <w:color w:val="943634"/>
          <w:sz w:val="22"/>
          <w:szCs w:val="22"/>
        </w:rPr>
        <w:t>4.0  CONCLUSION</w:t>
      </w:r>
      <w:proofErr w:type="gramEnd"/>
    </w:p>
    <w:p w14:paraId="04D9FA13" w14:textId="77777777" w:rsidR="006432E2" w:rsidRPr="003A259F" w:rsidRDefault="006432E2" w:rsidP="006E2E32">
      <w:pPr>
        <w:pStyle w:val="TAMainText"/>
        <w:spacing w:line="240" w:lineRule="auto"/>
        <w:ind w:firstLine="0"/>
        <w:rPr>
          <w:rFonts w:ascii="Century Gothic" w:hAnsi="Century Gothic"/>
        </w:rPr>
      </w:pPr>
    </w:p>
    <w:p w14:paraId="4C124280" w14:textId="64D0FA3A" w:rsidR="005473A7" w:rsidRDefault="005473A7" w:rsidP="00F3357C">
      <w:pPr>
        <w:pStyle w:val="TDAcknowledgments"/>
        <w:spacing w:before="0" w:line="240" w:lineRule="auto"/>
        <w:ind w:firstLine="0"/>
        <w:rPr>
          <w:rFonts w:ascii="Century Gothic" w:hAnsi="Century Gothic"/>
        </w:rPr>
      </w:pPr>
      <w:r w:rsidRPr="005473A7">
        <w:rPr>
          <w:rFonts w:ascii="Century Gothic" w:hAnsi="Century Gothic"/>
        </w:rPr>
        <w:t xml:space="preserve">This research compared the ARIMA step function intervention model against SVRX to forecast daily closing prices for PT Vale Indonesia </w:t>
      </w:r>
      <w:proofErr w:type="spellStart"/>
      <w:r w:rsidRPr="005473A7">
        <w:rPr>
          <w:rFonts w:ascii="Century Gothic" w:hAnsi="Century Gothic"/>
        </w:rPr>
        <w:t>Tbk</w:t>
      </w:r>
      <w:proofErr w:type="spellEnd"/>
      <w:r w:rsidRPr="005473A7">
        <w:rPr>
          <w:rFonts w:ascii="Century Gothic" w:hAnsi="Century Gothic"/>
        </w:rPr>
        <w:t xml:space="preserve"> (INCO). The analysis explicitly treated Indonesia's 2020 nickel ore export ban as a defined structural break. The </w:t>
      </w:r>
      <w:proofErr w:type="gramStart"/>
      <w:r w:rsidRPr="005473A7">
        <w:rPr>
          <w:rFonts w:ascii="Century Gothic" w:hAnsi="Century Gothic"/>
        </w:rPr>
        <w:t>ARIMA(</w:t>
      </w:r>
      <w:proofErr w:type="gramEnd"/>
      <w:r w:rsidRPr="005473A7">
        <w:rPr>
          <w:rFonts w:ascii="Century Gothic" w:hAnsi="Century Gothic"/>
        </w:rPr>
        <w:t xml:space="preserve">0,2,1) intervention model </w:t>
      </w:r>
      <w:r w:rsidRPr="00D16F21">
        <w:rPr>
          <w:rFonts w:ascii="Century Gothic" w:hAnsi="Century Gothic"/>
        </w:rPr>
        <w:t>(b = 0, r = 2, s = 0</w:t>
      </w:r>
      <w:r w:rsidRPr="005473A7">
        <w:rPr>
          <w:rFonts w:ascii="Century Gothic" w:hAnsi="Century Gothic"/>
        </w:rPr>
        <w:t xml:space="preserve">) successfully passed all diagnostic tests. It generated statistically significant and interpretable estimates of the policy's direct impact. However, the model ultimately produced a testing MAPE of 22.2%, which signifies low out-of-sample forecasting </w:t>
      </w:r>
      <w:proofErr w:type="spellStart"/>
      <w:proofErr w:type="gramStart"/>
      <w:r w:rsidRPr="005473A7">
        <w:rPr>
          <w:rFonts w:ascii="Century Gothic" w:hAnsi="Century Gothic"/>
        </w:rPr>
        <w:t>accuracy.The</w:t>
      </w:r>
      <w:proofErr w:type="spellEnd"/>
      <w:proofErr w:type="gramEnd"/>
      <w:r w:rsidRPr="005473A7">
        <w:rPr>
          <w:rFonts w:ascii="Century Gothic" w:hAnsi="Century Gothic"/>
        </w:rPr>
        <w:t xml:space="preserve"> SVRX model utilizing a sigmoid kernel delivered vastly superior results. It achieved a highly accurate testing MAPE of 3.327% and slashed both MAE and RMSE by more than 82% compared to the ARIMA baseline. The SVRX model succeeded because it naturally handles the strict nonlinearity and heteroscedasticity embedded in the INCO dataset. These complex conditions systematically violate the rigid assumptions required by the ARIMA framework. In contrast, the SVR architecture smoothly accommodates irregular data structures through its specialized kernel mapping and </w:t>
      </w:r>
      <m:oMath>
        <m:r>
          <w:rPr>
            <w:rFonts w:ascii="Cambria Math" w:eastAsia="Century Gothic" w:hAnsi="Cambria Math" w:cs="Century Gothic"/>
            <w:szCs w:val="18"/>
            <w:lang w:val="en-ID"/>
          </w:rPr>
          <m:t>ϵ</m:t>
        </m:r>
      </m:oMath>
      <w:r w:rsidRPr="005473A7">
        <w:rPr>
          <w:rFonts w:ascii="Century Gothic" w:hAnsi="Century Gothic"/>
        </w:rPr>
        <w:t xml:space="preserve">-insensitive loss </w:t>
      </w:r>
      <w:proofErr w:type="gramStart"/>
      <w:r w:rsidRPr="005473A7">
        <w:rPr>
          <w:rFonts w:ascii="Century Gothic" w:hAnsi="Century Gothic"/>
        </w:rPr>
        <w:t>function.The</w:t>
      </w:r>
      <w:proofErr w:type="gramEnd"/>
      <w:r w:rsidRPr="005473A7">
        <w:rPr>
          <w:rFonts w:ascii="Century Gothic" w:hAnsi="Century Gothic"/>
        </w:rPr>
        <w:t xml:space="preserve"> results demonstrate that machine learning systems equipped with exogenous intervention indicators forecast commodity-driven stocks far more accurately than classical parametric models during major policy shifts. Despite this accuracy gap, parametric models still hold value because they can explicitly measure and attribute policy impacts. Future studies should focus on building hybrid architectures. Researchers need to merge the transparent interpretability of parametric interventions with the advanced approximation.</w:t>
      </w:r>
    </w:p>
    <w:p w14:paraId="013DA10B" w14:textId="77777777" w:rsidR="006D6DEB" w:rsidRDefault="006D6DEB" w:rsidP="006E2E32">
      <w:pPr>
        <w:pStyle w:val="TDAcknowledgments"/>
        <w:spacing w:before="0" w:line="240" w:lineRule="auto"/>
        <w:ind w:firstLine="0"/>
        <w:rPr>
          <w:rFonts w:ascii="Century Gothic" w:hAnsi="Century Gothic"/>
          <w:szCs w:val="18"/>
        </w:rPr>
      </w:pPr>
    </w:p>
    <w:p w14:paraId="3457DA25" w14:textId="77777777" w:rsidR="00F71970" w:rsidRPr="00BB3F74" w:rsidRDefault="006432E2" w:rsidP="006E2E32">
      <w:pPr>
        <w:pStyle w:val="TDAcknowledgments"/>
        <w:spacing w:before="0" w:line="240" w:lineRule="auto"/>
        <w:ind w:firstLine="0"/>
        <w:jc w:val="center"/>
        <w:rPr>
          <w:rFonts w:ascii="Century Gothic" w:hAnsi="Century Gothic"/>
          <w:b/>
          <w:color w:val="943634"/>
        </w:rPr>
      </w:pPr>
      <w:r w:rsidRPr="00BB3F74">
        <w:rPr>
          <w:rFonts w:ascii="Century Gothic" w:hAnsi="Century Gothic"/>
          <w:b/>
          <w:color w:val="943634"/>
          <w:sz w:val="22"/>
          <w:szCs w:val="22"/>
        </w:rPr>
        <w:t>Acknowledgement</w:t>
      </w:r>
    </w:p>
    <w:p w14:paraId="29588B4B" w14:textId="77777777" w:rsidR="004D671D" w:rsidRDefault="004D671D" w:rsidP="006E2E32">
      <w:pPr>
        <w:pStyle w:val="TDAcknowledgments"/>
        <w:spacing w:before="0" w:line="240" w:lineRule="auto"/>
        <w:ind w:firstLine="0"/>
        <w:rPr>
          <w:rFonts w:ascii="Century Gothic" w:hAnsi="Century Gothic"/>
        </w:rPr>
      </w:pPr>
    </w:p>
    <w:p w14:paraId="44E49706" w14:textId="64F74B1C" w:rsidR="006969BA" w:rsidRPr="006969BA" w:rsidRDefault="00B61389" w:rsidP="00F3357C">
      <w:pPr>
        <w:rPr>
          <w:rFonts w:ascii="Century Gothic" w:hAnsi="Century Gothic"/>
          <w:sz w:val="18"/>
          <w:szCs w:val="18"/>
        </w:rPr>
      </w:pPr>
      <w:r w:rsidRPr="00B61389">
        <w:rPr>
          <w:rFonts w:ascii="Century Gothic" w:hAnsi="Century Gothic"/>
          <w:color w:val="000000"/>
          <w:sz w:val="18"/>
          <w:szCs w:val="18"/>
        </w:rPr>
        <w:t xml:space="preserve">The authors thank the Department of Mathematics at Universitas Airlangga for providing the academic </w:t>
      </w:r>
      <w:r w:rsidRPr="00B61389">
        <w:rPr>
          <w:rFonts w:ascii="Century Gothic" w:hAnsi="Century Gothic"/>
          <w:color w:val="000000"/>
          <w:sz w:val="18"/>
          <w:szCs w:val="18"/>
        </w:rPr>
        <w:lastRenderedPageBreak/>
        <w:t xml:space="preserve">support and research facilities required to complete this study. Investing.com granted access to the historical stock price data for PT Vale Indonesia </w:t>
      </w:r>
      <w:proofErr w:type="spellStart"/>
      <w:r w:rsidRPr="00B61389">
        <w:rPr>
          <w:rFonts w:ascii="Century Gothic" w:hAnsi="Century Gothic"/>
          <w:color w:val="000000"/>
          <w:sz w:val="18"/>
          <w:szCs w:val="18"/>
        </w:rPr>
        <w:t>Tbk</w:t>
      </w:r>
      <w:proofErr w:type="spellEnd"/>
      <w:r w:rsidRPr="00B61389">
        <w:rPr>
          <w:rFonts w:ascii="Century Gothic" w:hAnsi="Century Gothic"/>
          <w:color w:val="000000"/>
          <w:sz w:val="18"/>
          <w:szCs w:val="18"/>
        </w:rPr>
        <w:t xml:space="preserve"> (INCO).</w:t>
      </w:r>
      <w:r w:rsidR="008E3D3F" w:rsidRPr="006969BA">
        <w:rPr>
          <w:rFonts w:ascii="Century Gothic" w:hAnsi="Century Gothic"/>
          <w:sz w:val="18"/>
          <w:szCs w:val="18"/>
        </w:rPr>
        <w:t xml:space="preserve"> </w:t>
      </w:r>
    </w:p>
    <w:p w14:paraId="7AF6CDD1" w14:textId="77777777" w:rsidR="00116971" w:rsidRPr="00BB3F74" w:rsidRDefault="00116971" w:rsidP="006E2E32">
      <w:pPr>
        <w:pStyle w:val="TFReferencesSection"/>
        <w:spacing w:line="240" w:lineRule="auto"/>
        <w:ind w:left="0" w:firstLine="0"/>
        <w:rPr>
          <w:rFonts w:ascii="Century Gothic" w:hAnsi="Century Gothic"/>
          <w:b/>
          <w:color w:val="943634"/>
          <w:sz w:val="18"/>
          <w:szCs w:val="18"/>
        </w:rPr>
      </w:pPr>
    </w:p>
    <w:p w14:paraId="6942B47F" w14:textId="77777777" w:rsidR="006432E2" w:rsidRPr="004D671D" w:rsidRDefault="006432E2" w:rsidP="006E2E32">
      <w:pPr>
        <w:pStyle w:val="TFReferencesSection"/>
        <w:spacing w:line="240" w:lineRule="auto"/>
        <w:jc w:val="left"/>
        <w:rPr>
          <w:rFonts w:ascii="Century Gothic" w:hAnsi="Century Gothic"/>
          <w:b/>
          <w:sz w:val="22"/>
          <w:szCs w:val="22"/>
        </w:rPr>
      </w:pPr>
      <w:r w:rsidRPr="00BB3F74">
        <w:rPr>
          <w:rFonts w:ascii="Century Gothic" w:hAnsi="Century Gothic"/>
          <w:b/>
          <w:color w:val="943634"/>
          <w:sz w:val="22"/>
          <w:szCs w:val="22"/>
        </w:rPr>
        <w:t>References</w:t>
      </w:r>
    </w:p>
    <w:p w14:paraId="0CA80199" w14:textId="77777777" w:rsidR="00B66CC9" w:rsidRDefault="00B66CC9" w:rsidP="007B76F7">
      <w:pPr>
        <w:spacing w:after="60"/>
        <w:rPr>
          <w:rFonts w:ascii="Century Gothic" w:hAnsi="Century Gothic"/>
          <w:sz w:val="18"/>
          <w:szCs w:val="18"/>
        </w:rPr>
      </w:pPr>
    </w:p>
    <w:p w14:paraId="64C704EA" w14:textId="6FD11054" w:rsidR="00BB4057" w:rsidRPr="00BB4057" w:rsidRDefault="007B76F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b/>
          <w:sz w:val="18"/>
          <w:szCs w:val="18"/>
        </w:rPr>
        <w:fldChar w:fldCharType="begin" w:fldLock="1"/>
      </w:r>
      <w:r w:rsidRPr="00BB4057">
        <w:rPr>
          <w:rFonts w:ascii="Century Gothic" w:hAnsi="Century Gothic"/>
          <w:b/>
          <w:sz w:val="18"/>
          <w:szCs w:val="18"/>
        </w:rPr>
        <w:instrText xml:space="preserve">ADDIN Mendeley Bibliography CSL_BIBLIOGRAPHY </w:instrText>
      </w:r>
      <w:r w:rsidRPr="00BB4057">
        <w:rPr>
          <w:rFonts w:ascii="Century Gothic" w:hAnsi="Century Gothic"/>
          <w:b/>
          <w:sz w:val="18"/>
          <w:szCs w:val="18"/>
        </w:rPr>
        <w:fldChar w:fldCharType="separate"/>
      </w:r>
      <w:r w:rsidR="00BB4057" w:rsidRPr="00BB4057">
        <w:rPr>
          <w:rFonts w:ascii="Century Gothic" w:hAnsi="Century Gothic"/>
          <w:noProof/>
          <w:sz w:val="18"/>
          <w:szCs w:val="18"/>
        </w:rPr>
        <w:t>[1]</w:t>
      </w:r>
      <w:r w:rsidR="00BB4057" w:rsidRPr="00BB4057">
        <w:rPr>
          <w:rFonts w:ascii="Century Gothic" w:hAnsi="Century Gothic"/>
          <w:noProof/>
          <w:sz w:val="18"/>
          <w:szCs w:val="18"/>
        </w:rPr>
        <w:tab/>
        <w:t xml:space="preserve">P. Dilshara </w:t>
      </w:r>
      <w:r w:rsidR="00BB4057" w:rsidRPr="00BB4057">
        <w:rPr>
          <w:rFonts w:ascii="Century Gothic" w:hAnsi="Century Gothic"/>
          <w:i/>
          <w:iCs/>
          <w:noProof/>
          <w:sz w:val="18"/>
          <w:szCs w:val="18"/>
        </w:rPr>
        <w:t>et al.</w:t>
      </w:r>
      <w:r w:rsidR="00BB4057" w:rsidRPr="00BB4057">
        <w:rPr>
          <w:rFonts w:ascii="Century Gothic" w:hAnsi="Century Gothic"/>
          <w:noProof/>
          <w:sz w:val="18"/>
          <w:szCs w:val="18"/>
        </w:rPr>
        <w:t xml:space="preserve">, “The role of nickel (Ni) as a critical metal in clean energy transition: applications, global distribution and occurrences, production-demand and phytomining,” </w:t>
      </w:r>
      <w:r w:rsidR="00BB4057" w:rsidRPr="00BB4057">
        <w:rPr>
          <w:rFonts w:ascii="Century Gothic" w:hAnsi="Century Gothic"/>
          <w:i/>
          <w:iCs/>
          <w:noProof/>
          <w:sz w:val="18"/>
          <w:szCs w:val="18"/>
        </w:rPr>
        <w:t>J. Asian Earth Sci.</w:t>
      </w:r>
      <w:r w:rsidR="00BB4057" w:rsidRPr="00BB4057">
        <w:rPr>
          <w:rFonts w:ascii="Century Gothic" w:hAnsi="Century Gothic"/>
          <w:noProof/>
          <w:sz w:val="18"/>
          <w:szCs w:val="18"/>
        </w:rPr>
        <w:t>, vol. 259, no. February 2023, 2024, doi: 10.1016/j.jseaes.2023.105912.</w:t>
      </w:r>
    </w:p>
    <w:p w14:paraId="42147660"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w:t>
      </w:r>
      <w:r w:rsidRPr="00BB4057">
        <w:rPr>
          <w:rFonts w:ascii="Century Gothic" w:hAnsi="Century Gothic"/>
          <w:noProof/>
          <w:sz w:val="18"/>
          <w:szCs w:val="18"/>
        </w:rPr>
        <w:tab/>
        <w:t xml:space="preserve">A. Mitchell, “Nickel and copper: building blocks for a greener future,” </w:t>
      </w:r>
      <w:r w:rsidRPr="00BB4057">
        <w:rPr>
          <w:rFonts w:ascii="Century Gothic" w:hAnsi="Century Gothic"/>
          <w:i/>
          <w:iCs/>
          <w:noProof/>
          <w:sz w:val="18"/>
          <w:szCs w:val="18"/>
        </w:rPr>
        <w:t>Https://Www.Woodmac.Com/News/Opinion/Nickel-and-Copper-Building-Blocks-for-a-Greener-Future/</w:t>
      </w:r>
      <w:r w:rsidRPr="00BB4057">
        <w:rPr>
          <w:rFonts w:ascii="Century Gothic" w:hAnsi="Century Gothic"/>
          <w:noProof/>
          <w:sz w:val="18"/>
          <w:szCs w:val="18"/>
        </w:rPr>
        <w:t>, 2022, [Online]. Available: https://www.woodmac.com/news/opinion/nickel-and-copper-building-blocks-for-a-greener-future/</w:t>
      </w:r>
    </w:p>
    <w:p w14:paraId="260E13E6"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[3]</w:t>
      </w:r>
      <w:r w:rsidRPr="00BB4057">
        <w:rPr>
          <w:rFonts w:ascii="Century Gothic" w:hAnsi="Century Gothic"/>
          <w:noProof/>
          <w:sz w:val="18"/>
          <w:szCs w:val="18"/>
        </w:rPr>
        <w:tab/>
        <w:t>A. Agus, “Pemilik cadangan nikel dan bauksit terbesar di dunia, ini yang dilakukan Indonesia. Kementerian Energi dan Sumber Daya Mineral Republik Indonesia.,” KEMENTERIAN ENERGI DAN SUMBER DAYA MINERAL. [Online]. Available: https://www.esdm.go.id/id/media-center/arsip-berita/pemilik-cadangan-nikel-dan-bauksit-terbesar-di-dunia-ini-yang-dilakukan-indonesia</w:t>
      </w:r>
    </w:p>
    <w:p w14:paraId="051E1BED"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[4]</w:t>
      </w:r>
      <w:r w:rsidRPr="00BB4057">
        <w:rPr>
          <w:rFonts w:ascii="Century Gothic" w:hAnsi="Century Gothic"/>
          <w:noProof/>
          <w:sz w:val="18"/>
          <w:szCs w:val="18"/>
        </w:rPr>
        <w:tab/>
        <w:t xml:space="preserve">K. Sihotang and G. Ishak, “Pengaruh Harga Nikel, PDB, Inflasi, Kurs, FDI terhadap Harga Saham Perusahaan Tambang Nikel,” </w:t>
      </w:r>
      <w:r w:rsidRPr="00BB4057">
        <w:rPr>
          <w:rFonts w:ascii="Century Gothic" w:hAnsi="Century Gothic"/>
          <w:i/>
          <w:iCs/>
          <w:noProof/>
          <w:sz w:val="18"/>
          <w:szCs w:val="18"/>
        </w:rPr>
        <w:t>COSTINGJournal Econ. Bus. Account.</w:t>
      </w:r>
      <w:r w:rsidRPr="00BB4057">
        <w:rPr>
          <w:rFonts w:ascii="Century Gothic" w:hAnsi="Century Gothic"/>
          <w:noProof/>
          <w:sz w:val="18"/>
          <w:szCs w:val="18"/>
        </w:rPr>
        <w:t>, vol. Volume 7 n, 2024.</w:t>
      </w:r>
    </w:p>
    <w:p w14:paraId="6F21FD81"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[5]</w:t>
      </w:r>
      <w:r w:rsidRPr="00BB4057">
        <w:rPr>
          <w:rFonts w:ascii="Century Gothic" w:hAnsi="Century Gothic"/>
          <w:noProof/>
          <w:sz w:val="18"/>
          <w:szCs w:val="18"/>
        </w:rPr>
        <w:tab/>
        <w:t>R. Biantoro, “STOCK VALUATION AND FINANCIAL PERFORMANCE OF NICKEL MINING COMPANY IN INDONESIA ( CASE STUDY</w:t>
      </w:r>
      <w:r w:rsidRPr="00BB4057">
        <w:rPr>
          <w:rFonts w:ascii="Arial" w:hAnsi="Arial" w:cs="Arial"/>
          <w:noProof/>
          <w:sz w:val="18"/>
          <w:szCs w:val="18"/>
        </w:rPr>
        <w:t> </w:t>
      </w:r>
      <w:r w:rsidRPr="00BB4057">
        <w:rPr>
          <w:rFonts w:ascii="Century Gothic" w:hAnsi="Century Gothic"/>
          <w:noProof/>
          <w:sz w:val="18"/>
          <w:szCs w:val="18"/>
        </w:rPr>
        <w:t>: PT VALE INDONESIA TBK ),” Institut Teknologi Bandung, 2023.</w:t>
      </w:r>
    </w:p>
    <w:p w14:paraId="060736BA"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[6]</w:t>
      </w:r>
      <w:r w:rsidRPr="00BB4057">
        <w:rPr>
          <w:rFonts w:ascii="Century Gothic" w:hAnsi="Century Gothic"/>
          <w:noProof/>
          <w:sz w:val="18"/>
          <w:szCs w:val="18"/>
        </w:rPr>
        <w:tab/>
        <w:t xml:space="preserve">Z. Bao and C. Wang, “A multi-agent knowledge integration process for enterprise management innovation from the perspective of neural network,” </w:t>
      </w:r>
      <w:r w:rsidRPr="00BB4057">
        <w:rPr>
          <w:rFonts w:ascii="Century Gothic" w:hAnsi="Century Gothic"/>
          <w:i/>
          <w:iCs/>
          <w:noProof/>
          <w:sz w:val="18"/>
          <w:szCs w:val="18"/>
        </w:rPr>
        <w:t>Inf. Process. Manag.</w:t>
      </w:r>
      <w:r w:rsidRPr="00BB4057">
        <w:rPr>
          <w:rFonts w:ascii="Century Gothic" w:hAnsi="Century Gothic"/>
          <w:noProof/>
          <w:sz w:val="18"/>
          <w:szCs w:val="18"/>
        </w:rPr>
        <w:t>, vol. 59, no. 2, p. 102873, 2022, doi: 10.1016/j.ipm.2022.102873.</w:t>
      </w:r>
    </w:p>
    <w:p w14:paraId="5DCB3098"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[7]</w:t>
      </w:r>
      <w:r w:rsidRPr="00BB4057">
        <w:rPr>
          <w:rFonts w:ascii="Century Gothic" w:hAnsi="Century Gothic"/>
          <w:noProof/>
          <w:sz w:val="18"/>
          <w:szCs w:val="18"/>
        </w:rPr>
        <w:tab/>
        <w:t xml:space="preserve">B. D. K. Reddy, J. S. Naik, S. V. Kumar, S. Kumar, G. Haritha, and M. R. Reddy, </w:t>
      </w:r>
      <w:r w:rsidRPr="00BB4057">
        <w:rPr>
          <w:rFonts w:ascii="Century Gothic" w:hAnsi="Century Gothic"/>
          <w:i/>
          <w:iCs/>
          <w:noProof/>
          <w:sz w:val="18"/>
          <w:szCs w:val="18"/>
        </w:rPr>
        <w:t>A Methodological Review on Time Series Forecasting by using ARIMA</w:t>
      </w:r>
      <w:r w:rsidRPr="00BB4057">
        <w:rPr>
          <w:rFonts w:ascii="Century Gothic" w:hAnsi="Century Gothic"/>
          <w:noProof/>
          <w:sz w:val="18"/>
          <w:szCs w:val="18"/>
        </w:rPr>
        <w:t>. Atlantis Press International BV, 2025. doi: 10.2991/978-94-6463-662-8_55.</w:t>
      </w:r>
    </w:p>
    <w:p w14:paraId="57142BCE"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[8]</w:t>
      </w:r>
      <w:r w:rsidRPr="00BB4057">
        <w:rPr>
          <w:rFonts w:ascii="Century Gothic" w:hAnsi="Century Gothic"/>
          <w:noProof/>
          <w:sz w:val="18"/>
          <w:szCs w:val="18"/>
        </w:rPr>
        <w:tab/>
        <w:t xml:space="preserve">S. Hossein, “Financial Sanctions and Economic Growth: An Intervention Time-series Approach,” </w:t>
      </w:r>
      <w:r w:rsidRPr="00BB4057">
        <w:rPr>
          <w:rFonts w:ascii="Century Gothic" w:hAnsi="Century Gothic"/>
          <w:i/>
          <w:iCs/>
          <w:noProof/>
          <w:sz w:val="18"/>
          <w:szCs w:val="18"/>
        </w:rPr>
        <w:t>Int. Econ. Stud.</w:t>
      </w:r>
      <w:r w:rsidRPr="00BB4057">
        <w:rPr>
          <w:rFonts w:ascii="Century Gothic" w:hAnsi="Century Gothic"/>
          <w:noProof/>
          <w:sz w:val="18"/>
          <w:szCs w:val="18"/>
        </w:rPr>
        <w:t>, vol. 51, no. 1, pp. 1–14, 2021, [Online]. Available: https://doi.org/10.22108/IES.2020.122915.1083,https://ies.ui.ac.ir/article_25352.html</w:t>
      </w:r>
    </w:p>
    <w:p w14:paraId="3BE16FF4"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[9]</w:t>
      </w:r>
      <w:r w:rsidRPr="00BB4057">
        <w:rPr>
          <w:rFonts w:ascii="Century Gothic" w:hAnsi="Century Gothic"/>
          <w:noProof/>
          <w:sz w:val="18"/>
          <w:szCs w:val="18"/>
        </w:rPr>
        <w:tab/>
        <w:t xml:space="preserve">Y. Li, “Comparative Analysis of Time Series </w:t>
      </w:r>
      <w:r w:rsidRPr="00BB4057">
        <w:rPr>
          <w:rFonts w:ascii="Century Gothic" w:hAnsi="Century Gothic"/>
          <w:noProof/>
          <w:sz w:val="18"/>
          <w:szCs w:val="18"/>
        </w:rPr>
        <w:t>Models for Forecasting the U.S. Unemployment Rate: A Study of ARIMA, LSTM, and Intervention Approaches,” no. Icdse, pp. 372–378, 2025, doi: 10.5220/0013697600004670.</w:t>
      </w:r>
    </w:p>
    <w:p w14:paraId="5290AF9E"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[10]</w:t>
      </w:r>
      <w:r w:rsidRPr="00BB4057">
        <w:rPr>
          <w:rFonts w:ascii="Century Gothic" w:hAnsi="Century Gothic"/>
          <w:noProof/>
          <w:sz w:val="18"/>
          <w:szCs w:val="18"/>
        </w:rPr>
        <w:tab/>
        <w:t xml:space="preserve">Y. Wan and C. Sun, “Intervention analysis of the antidumpinginvestigation on wooden bedroom furniture imports from china,” </w:t>
      </w:r>
      <w:r w:rsidRPr="00BB4057">
        <w:rPr>
          <w:rFonts w:ascii="Century Gothic" w:hAnsi="Century Gothic"/>
          <w:i/>
          <w:iCs/>
          <w:noProof/>
          <w:sz w:val="18"/>
          <w:szCs w:val="18"/>
        </w:rPr>
        <w:t>Can. J. For. Res.</w:t>
      </w:r>
      <w:r w:rsidRPr="00BB4057">
        <w:rPr>
          <w:rFonts w:ascii="Century Gothic" w:hAnsi="Century Gothic"/>
          <w:noProof/>
          <w:sz w:val="18"/>
          <w:szCs w:val="18"/>
        </w:rPr>
        <w:t>, vol. 40, no. 7, 2010.</w:t>
      </w:r>
    </w:p>
    <w:p w14:paraId="13AE2149"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[11]</w:t>
      </w:r>
      <w:r w:rsidRPr="00BB4057">
        <w:rPr>
          <w:rFonts w:ascii="Century Gothic" w:hAnsi="Century Gothic"/>
          <w:noProof/>
          <w:sz w:val="18"/>
          <w:szCs w:val="18"/>
        </w:rPr>
        <w:tab/>
        <w:t xml:space="preserve">P. F. Pai and C. S. Lin, “A hybrid ARIMA and support vector machines model in stock price forecasting,” </w:t>
      </w:r>
      <w:r w:rsidRPr="00BB4057">
        <w:rPr>
          <w:rFonts w:ascii="Century Gothic" w:hAnsi="Century Gothic"/>
          <w:i/>
          <w:iCs/>
          <w:noProof/>
          <w:sz w:val="18"/>
          <w:szCs w:val="18"/>
        </w:rPr>
        <w:t>Omega</w:t>
      </w:r>
      <w:r w:rsidRPr="00BB4057">
        <w:rPr>
          <w:rFonts w:ascii="Century Gothic" w:hAnsi="Century Gothic"/>
          <w:noProof/>
          <w:sz w:val="18"/>
          <w:szCs w:val="18"/>
        </w:rPr>
        <w:t>, vol. 33, no. 6, pp. 497–505, 2005, doi: 10.1016/j.omega.2004.07.024.</w:t>
      </w:r>
    </w:p>
    <w:p w14:paraId="1A3F9BAE"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[12]</w:t>
      </w:r>
      <w:r w:rsidRPr="00BB4057">
        <w:rPr>
          <w:rFonts w:ascii="Century Gothic" w:hAnsi="Century Gothic"/>
          <w:noProof/>
          <w:sz w:val="18"/>
          <w:szCs w:val="18"/>
        </w:rPr>
        <w:tab/>
        <w:t xml:space="preserve">V. N. Vapnik, </w:t>
      </w:r>
      <w:r w:rsidRPr="00BB4057">
        <w:rPr>
          <w:rFonts w:ascii="Century Gothic" w:hAnsi="Century Gothic"/>
          <w:i/>
          <w:iCs/>
          <w:noProof/>
          <w:sz w:val="18"/>
          <w:szCs w:val="18"/>
        </w:rPr>
        <w:t>Statistics for Engineering and Information Science) Vladimir N. Vapnik - The Nature of Statistical Learning Theory-Springer (2000).pdf</w:t>
      </w:r>
      <w:r w:rsidRPr="00BB4057">
        <w:rPr>
          <w:rFonts w:ascii="Century Gothic" w:hAnsi="Century Gothic"/>
          <w:noProof/>
          <w:sz w:val="18"/>
          <w:szCs w:val="18"/>
        </w:rPr>
        <w:t>. 2000. doi: https://doi.org/10.1007/978-1-4757-3264-1.</w:t>
      </w:r>
    </w:p>
    <w:p w14:paraId="1544117E"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[13]</w:t>
      </w:r>
      <w:r w:rsidRPr="00BB4057">
        <w:rPr>
          <w:rFonts w:ascii="Century Gothic" w:hAnsi="Century Gothic"/>
          <w:noProof/>
          <w:sz w:val="18"/>
          <w:szCs w:val="18"/>
        </w:rPr>
        <w:tab/>
        <w:t xml:space="preserve">A. Smola and B. SCHOLKOPF, “A tutorial on support vector regression,” </w:t>
      </w:r>
      <w:r w:rsidRPr="00BB4057">
        <w:rPr>
          <w:rFonts w:ascii="Century Gothic" w:hAnsi="Century Gothic"/>
          <w:i/>
          <w:iCs/>
          <w:noProof/>
          <w:sz w:val="18"/>
          <w:szCs w:val="18"/>
        </w:rPr>
        <w:t>Stat. Comput.</w:t>
      </w:r>
      <w:r w:rsidRPr="00BB4057">
        <w:rPr>
          <w:rFonts w:ascii="Century Gothic" w:hAnsi="Century Gothic"/>
          <w:noProof/>
          <w:sz w:val="18"/>
          <w:szCs w:val="18"/>
        </w:rPr>
        <w:t>, vol. 14, no. 3, pp. 199–222, 2004, doi: https://doi.org/10.1023/B:STCO.0000035301.49549.88.</w:t>
      </w:r>
    </w:p>
    <w:p w14:paraId="6F5FD9D9"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[14]</w:t>
      </w:r>
      <w:r w:rsidRPr="00BB4057">
        <w:rPr>
          <w:rFonts w:ascii="Century Gothic" w:hAnsi="Century Gothic"/>
          <w:noProof/>
          <w:sz w:val="18"/>
          <w:szCs w:val="18"/>
        </w:rPr>
        <w:tab/>
        <w:t xml:space="preserve">Y. Jouilil and D. Mentagui, “Comparing The Forecasting Accuracy Metrics Of Support Vector Regression and ARIMA Algorithms For Non-Stationary Time Process,” </w:t>
      </w:r>
      <w:r w:rsidRPr="00BB4057">
        <w:rPr>
          <w:rFonts w:ascii="Century Gothic" w:hAnsi="Century Gothic"/>
          <w:i/>
          <w:iCs/>
          <w:noProof/>
          <w:sz w:val="18"/>
          <w:szCs w:val="18"/>
        </w:rPr>
        <w:t>Math. Stat.</w:t>
      </w:r>
      <w:r w:rsidRPr="00BB4057">
        <w:rPr>
          <w:rFonts w:ascii="Century Gothic" w:hAnsi="Century Gothic"/>
          <w:noProof/>
          <w:sz w:val="18"/>
          <w:szCs w:val="18"/>
        </w:rPr>
        <w:t>, vol. 11, no. 2, pp. 294–299, 2023, doi: 10.13189/ms.2023.110207.</w:t>
      </w:r>
    </w:p>
    <w:p w14:paraId="4B355A2F"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[15]</w:t>
      </w:r>
      <w:r w:rsidRPr="00BB4057">
        <w:rPr>
          <w:rFonts w:ascii="Century Gothic" w:hAnsi="Century Gothic"/>
          <w:noProof/>
          <w:sz w:val="18"/>
          <w:szCs w:val="18"/>
        </w:rPr>
        <w:tab/>
        <w:t xml:space="preserve">A. Amalia, I. Hayati, A. Afandi, A. S. Lubis, and J. L. Marpaung, “Comparative Forecasting of Indonesian Stock Prices Using ARIMA and Support Vector Regression: A Statistical Learning Approach,” </w:t>
      </w:r>
      <w:r w:rsidRPr="00BB4057">
        <w:rPr>
          <w:rFonts w:ascii="Century Gothic" w:hAnsi="Century Gothic"/>
          <w:i/>
          <w:iCs/>
          <w:noProof/>
          <w:sz w:val="18"/>
          <w:szCs w:val="18"/>
        </w:rPr>
        <w:t>Math. Model. Eng. Probl.</w:t>
      </w:r>
      <w:r w:rsidRPr="00BB4057">
        <w:rPr>
          <w:rFonts w:ascii="Century Gothic" w:hAnsi="Century Gothic"/>
          <w:noProof/>
          <w:sz w:val="18"/>
          <w:szCs w:val="18"/>
        </w:rPr>
        <w:t>, vol. 12, no. 7, pp. 2307–2315, 2025, doi: 10.18280/mmep.120711.</w:t>
      </w:r>
    </w:p>
    <w:p w14:paraId="58D19CC2"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[16]</w:t>
      </w:r>
      <w:r w:rsidRPr="00BB4057">
        <w:rPr>
          <w:rFonts w:ascii="Century Gothic" w:hAnsi="Century Gothic"/>
          <w:noProof/>
          <w:sz w:val="18"/>
          <w:szCs w:val="18"/>
        </w:rPr>
        <w:tab/>
        <w:t xml:space="preserve">S. F. Crone, J. Guajardo, and R. Weber, “A study on the ability of Support Vector Regression and Neural Networks to forecast basic time series patterns,” </w:t>
      </w:r>
      <w:r w:rsidRPr="00BB4057">
        <w:rPr>
          <w:rFonts w:ascii="Century Gothic" w:hAnsi="Century Gothic"/>
          <w:i/>
          <w:iCs/>
          <w:noProof/>
          <w:sz w:val="18"/>
          <w:szCs w:val="18"/>
        </w:rPr>
        <w:t>IFIP Int. Fed. Inf. Process.</w:t>
      </w:r>
      <w:r w:rsidRPr="00BB4057">
        <w:rPr>
          <w:rFonts w:ascii="Century Gothic" w:hAnsi="Century Gothic"/>
          <w:noProof/>
          <w:sz w:val="18"/>
          <w:szCs w:val="18"/>
        </w:rPr>
        <w:t>, vol. 217, pp. 149–158, 2006, doi: 10.1007/978-0-387-34747-9_16.</w:t>
      </w:r>
    </w:p>
    <w:p w14:paraId="7C779697"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[17]</w:t>
      </w:r>
      <w:r w:rsidRPr="00BB4057">
        <w:rPr>
          <w:rFonts w:ascii="Century Gothic" w:hAnsi="Century Gothic"/>
          <w:noProof/>
          <w:sz w:val="18"/>
          <w:szCs w:val="18"/>
        </w:rPr>
        <w:tab/>
        <w:t xml:space="preserve">X. Gong and B. Lin, “Adding dummy variables: A simple approach for improved volatility forecasting in electricity market,” </w:t>
      </w:r>
      <w:r w:rsidRPr="00BB4057">
        <w:rPr>
          <w:rFonts w:ascii="Century Gothic" w:hAnsi="Century Gothic"/>
          <w:i/>
          <w:iCs/>
          <w:noProof/>
          <w:sz w:val="18"/>
          <w:szCs w:val="18"/>
        </w:rPr>
        <w:t>J. Manag. Sci. Eng.</w:t>
      </w:r>
      <w:r w:rsidRPr="00BB4057">
        <w:rPr>
          <w:rFonts w:ascii="Century Gothic" w:hAnsi="Century Gothic"/>
          <w:noProof/>
          <w:sz w:val="18"/>
          <w:szCs w:val="18"/>
        </w:rPr>
        <w:t>, vol. 8, no. 2, pp. 191–213, 2023, doi: 10.1016/j.jmse.2022.09.001.</w:t>
      </w:r>
    </w:p>
    <w:p w14:paraId="12D91013"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[18]</w:t>
      </w:r>
      <w:r w:rsidRPr="00BB4057">
        <w:rPr>
          <w:rFonts w:ascii="Century Gothic" w:hAnsi="Century Gothic"/>
          <w:noProof/>
          <w:sz w:val="18"/>
          <w:szCs w:val="18"/>
        </w:rPr>
        <w:tab/>
        <w:t xml:space="preserve">S. Setiawan, G. P. D. Sohibien, D. D. Prastyo, M. S. Akbar, and A. A. Kamil, “Addition of Subset and Dummy Variables in the Threshold Spatial Vector Autoregressive with Exogenous Variables Model to Forecast Inflation and Money Outflow,” </w:t>
      </w:r>
      <w:r w:rsidRPr="00BB4057">
        <w:rPr>
          <w:rFonts w:ascii="Century Gothic" w:hAnsi="Century Gothic"/>
          <w:i/>
          <w:iCs/>
          <w:noProof/>
          <w:sz w:val="18"/>
          <w:szCs w:val="18"/>
        </w:rPr>
        <w:t>Economies</w:t>
      </w:r>
      <w:r w:rsidRPr="00BB4057">
        <w:rPr>
          <w:rFonts w:ascii="Century Gothic" w:hAnsi="Century Gothic"/>
          <w:noProof/>
          <w:sz w:val="18"/>
          <w:szCs w:val="18"/>
        </w:rPr>
        <w:t>, vol. 12, no. 12, 2024, doi: 10.3390/economies12120352.</w:t>
      </w:r>
    </w:p>
    <w:p w14:paraId="2C4A6E10"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[19]</w:t>
      </w:r>
      <w:r w:rsidRPr="00BB4057">
        <w:rPr>
          <w:rFonts w:ascii="Century Gothic" w:hAnsi="Century Gothic"/>
          <w:noProof/>
          <w:sz w:val="18"/>
          <w:szCs w:val="18"/>
        </w:rPr>
        <w:tab/>
        <w:t>K. Szostek, D. Mazur, G. Drałus, and J. K. Kusznier, “Models in Time Series Forecasting</w:t>
      </w:r>
      <w:r w:rsidRPr="00BB4057">
        <w:rPr>
          <w:rFonts w:ascii="Arial" w:hAnsi="Arial" w:cs="Arial"/>
          <w:noProof/>
          <w:sz w:val="18"/>
          <w:szCs w:val="18"/>
        </w:rPr>
        <w:t> </w:t>
      </w:r>
      <w:r w:rsidRPr="00BB4057">
        <w:rPr>
          <w:rFonts w:ascii="Century Gothic" w:hAnsi="Century Gothic"/>
          <w:noProof/>
          <w:sz w:val="18"/>
          <w:szCs w:val="18"/>
        </w:rPr>
        <w:t xml:space="preserve">: A Case Study of Wind Farm Energy Production,” </w:t>
      </w:r>
      <w:r w:rsidRPr="00BB4057">
        <w:rPr>
          <w:rFonts w:ascii="Century Gothic" w:hAnsi="Century Gothic"/>
          <w:i/>
          <w:iCs/>
          <w:noProof/>
          <w:sz w:val="18"/>
          <w:szCs w:val="18"/>
        </w:rPr>
        <w:t>Energies</w:t>
      </w:r>
      <w:r w:rsidRPr="00BB4057">
        <w:rPr>
          <w:rFonts w:ascii="Century Gothic" w:hAnsi="Century Gothic"/>
          <w:noProof/>
          <w:sz w:val="18"/>
          <w:szCs w:val="18"/>
        </w:rPr>
        <w:t>, vol. 17, no. September 2024, p. 4803, 2024, [Online]. Available: https://doi.org/10.3390/en17194803%0AAcad</w:t>
      </w:r>
      <w:r w:rsidRPr="00BB4057">
        <w:rPr>
          <w:rFonts w:ascii="Century Gothic" w:hAnsi="Century Gothic"/>
          <w:noProof/>
          <w:sz w:val="18"/>
          <w:szCs w:val="18"/>
        </w:rPr>
        <w:lastRenderedPageBreak/>
        <w:t>emic</w:t>
      </w:r>
    </w:p>
    <w:p w14:paraId="3E6D2864"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[20]</w:t>
      </w:r>
      <w:r w:rsidRPr="00BB4057">
        <w:rPr>
          <w:rFonts w:ascii="Century Gothic" w:hAnsi="Century Gothic"/>
          <w:noProof/>
          <w:sz w:val="18"/>
          <w:szCs w:val="18"/>
        </w:rPr>
        <w:tab/>
        <w:t xml:space="preserve">L. Chang, “Indonesia’s nickel ore export ban: policy process, driving factors, and global impacts,” </w:t>
      </w:r>
      <w:r w:rsidRPr="00BB4057">
        <w:rPr>
          <w:rFonts w:ascii="Century Gothic" w:hAnsi="Century Gothic"/>
          <w:i/>
          <w:iCs/>
          <w:noProof/>
          <w:sz w:val="18"/>
          <w:szCs w:val="18"/>
        </w:rPr>
        <w:t>China Min. Mag.</w:t>
      </w:r>
      <w:r w:rsidRPr="00BB4057">
        <w:rPr>
          <w:rFonts w:ascii="Century Gothic" w:hAnsi="Century Gothic"/>
          <w:noProof/>
          <w:sz w:val="18"/>
          <w:szCs w:val="18"/>
        </w:rPr>
        <w:t>, vol. 34, no. 2, pp. 79–87, 2025, doi: 10.12075/j.issn.1004-4051.20242277.</w:t>
      </w:r>
    </w:p>
    <w:p w14:paraId="7CB3503A"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[21]</w:t>
      </w:r>
      <w:r w:rsidRPr="00BB4057">
        <w:rPr>
          <w:rFonts w:ascii="Century Gothic" w:hAnsi="Century Gothic"/>
          <w:noProof/>
          <w:sz w:val="18"/>
          <w:szCs w:val="18"/>
        </w:rPr>
        <w:tab/>
        <w:t xml:space="preserve">P. Ananda and R. N. T. Wahyuni, “Impact of Indonesia’s Nickel Ore Export Ban on Processed Nickel Exports: Interrupted Time Series Analysis,” </w:t>
      </w:r>
      <w:r w:rsidRPr="00BB4057">
        <w:rPr>
          <w:rFonts w:ascii="Century Gothic" w:hAnsi="Century Gothic"/>
          <w:i/>
          <w:iCs/>
          <w:noProof/>
          <w:sz w:val="18"/>
          <w:szCs w:val="18"/>
        </w:rPr>
        <w:t>Semin. Nas. Off. Stat.</w:t>
      </w:r>
      <w:r w:rsidRPr="00BB4057">
        <w:rPr>
          <w:rFonts w:ascii="Century Gothic" w:hAnsi="Century Gothic"/>
          <w:noProof/>
          <w:sz w:val="18"/>
          <w:szCs w:val="18"/>
        </w:rPr>
        <w:t>, no. 1, pp. 173–182, 2024, [Online]. Available: https://prosiding.stis.ac.id/index.php/semnasoffstat/article/view/2073</w:t>
      </w:r>
    </w:p>
    <w:p w14:paraId="0619C15A"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[22]</w:t>
      </w:r>
      <w:r w:rsidRPr="00BB4057">
        <w:rPr>
          <w:rFonts w:ascii="Century Gothic" w:hAnsi="Century Gothic"/>
          <w:noProof/>
          <w:sz w:val="18"/>
          <w:szCs w:val="18"/>
        </w:rPr>
        <w:tab/>
        <w:t>Investing.com, “Vale Indonesia Tbk (INCO) stock historical data.”</w:t>
      </w:r>
    </w:p>
    <w:p w14:paraId="251B4BF9"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[23]</w:t>
      </w:r>
      <w:r w:rsidRPr="00BB4057">
        <w:rPr>
          <w:rFonts w:ascii="Century Gothic" w:hAnsi="Century Gothic"/>
          <w:noProof/>
          <w:sz w:val="18"/>
          <w:szCs w:val="18"/>
        </w:rPr>
        <w:tab/>
        <w:t>G. T. Wilson, “Time Series Analysis: Forecasting and Control, 5th Edition, by George E. P. Box, Gwilym M. Jenkins, Gregory C. Reinsel and Greta M. Ljung, 2015. Published by John Wiley and Sons Inc., Hoboken, New Jersey, pp. 712. ISBN: 978</w:t>
      </w:r>
      <w:r w:rsidRPr="00BB4057">
        <w:rPr>
          <w:rFonts w:ascii="Cambria Math" w:hAnsi="Cambria Math" w:cs="Cambria Math"/>
          <w:noProof/>
          <w:sz w:val="18"/>
          <w:szCs w:val="18"/>
        </w:rPr>
        <w:t>‐</w:t>
      </w:r>
      <w:r w:rsidRPr="00BB4057">
        <w:rPr>
          <w:rFonts w:ascii="Century Gothic" w:hAnsi="Century Gothic"/>
          <w:noProof/>
          <w:sz w:val="18"/>
          <w:szCs w:val="18"/>
        </w:rPr>
        <w:t>1</w:t>
      </w:r>
      <w:r w:rsidRPr="00BB4057">
        <w:rPr>
          <w:rFonts w:ascii="Cambria Math" w:hAnsi="Cambria Math" w:cs="Cambria Math"/>
          <w:noProof/>
          <w:sz w:val="18"/>
          <w:szCs w:val="18"/>
        </w:rPr>
        <w:t>‐</w:t>
      </w:r>
      <w:r w:rsidRPr="00BB4057">
        <w:rPr>
          <w:rFonts w:ascii="Century Gothic" w:hAnsi="Century Gothic"/>
          <w:noProof/>
          <w:sz w:val="18"/>
          <w:szCs w:val="18"/>
        </w:rPr>
        <w:t>118</w:t>
      </w:r>
      <w:r w:rsidRPr="00BB4057">
        <w:rPr>
          <w:rFonts w:ascii="Cambria Math" w:hAnsi="Cambria Math" w:cs="Cambria Math"/>
          <w:noProof/>
          <w:sz w:val="18"/>
          <w:szCs w:val="18"/>
        </w:rPr>
        <w:t>‐</w:t>
      </w:r>
      <w:r w:rsidRPr="00BB4057">
        <w:rPr>
          <w:rFonts w:ascii="Century Gothic" w:hAnsi="Century Gothic"/>
          <w:noProof/>
          <w:sz w:val="18"/>
          <w:szCs w:val="18"/>
        </w:rPr>
        <w:t>67502</w:t>
      </w:r>
      <w:r w:rsidRPr="00BB4057">
        <w:rPr>
          <w:rFonts w:ascii="Cambria Math" w:hAnsi="Cambria Math" w:cs="Cambria Math"/>
          <w:noProof/>
          <w:sz w:val="18"/>
          <w:szCs w:val="18"/>
        </w:rPr>
        <w:t>‐</w:t>
      </w:r>
      <w:r w:rsidRPr="00BB4057">
        <w:rPr>
          <w:rFonts w:ascii="Century Gothic" w:hAnsi="Century Gothic"/>
          <w:noProof/>
          <w:sz w:val="18"/>
          <w:szCs w:val="18"/>
        </w:rPr>
        <w:t xml:space="preserve">1,” </w:t>
      </w:r>
      <w:r w:rsidRPr="00BB4057">
        <w:rPr>
          <w:rFonts w:ascii="Century Gothic" w:hAnsi="Century Gothic"/>
          <w:i/>
          <w:iCs/>
          <w:noProof/>
          <w:sz w:val="18"/>
          <w:szCs w:val="18"/>
        </w:rPr>
        <w:t>J. Time Ser. Anal.</w:t>
      </w:r>
      <w:r w:rsidRPr="00BB4057">
        <w:rPr>
          <w:rFonts w:ascii="Century Gothic" w:hAnsi="Century Gothic"/>
          <w:noProof/>
          <w:sz w:val="18"/>
          <w:szCs w:val="18"/>
        </w:rPr>
        <w:t>, vol. 37, no. 5, pp. 709–711, 2016, doi: 10.1111/jtsa.12194.</w:t>
      </w:r>
    </w:p>
    <w:p w14:paraId="233E64BA"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[24]</w:t>
      </w:r>
      <w:r w:rsidRPr="00BB4057">
        <w:rPr>
          <w:rFonts w:ascii="Century Gothic" w:hAnsi="Century Gothic"/>
          <w:noProof/>
          <w:sz w:val="18"/>
          <w:szCs w:val="18"/>
        </w:rPr>
        <w:tab/>
        <w:t xml:space="preserve">H. Qu and Y. Zhang, “A new kernel of support </w:t>
      </w:r>
      <w:r w:rsidRPr="00BB4057">
        <w:rPr>
          <w:rFonts w:ascii="Century Gothic" w:hAnsi="Century Gothic"/>
          <w:noProof/>
          <w:sz w:val="18"/>
          <w:szCs w:val="18"/>
        </w:rPr>
        <w:t xml:space="preserve">vector regression for forecasting high-frequency stock returns,” </w:t>
      </w:r>
      <w:r w:rsidRPr="00BB4057">
        <w:rPr>
          <w:rFonts w:ascii="Century Gothic" w:hAnsi="Century Gothic"/>
          <w:i/>
          <w:iCs/>
          <w:noProof/>
          <w:sz w:val="18"/>
          <w:szCs w:val="18"/>
        </w:rPr>
        <w:t>Math. Probl. Eng.</w:t>
      </w:r>
      <w:r w:rsidRPr="00BB4057">
        <w:rPr>
          <w:rFonts w:ascii="Century Gothic" w:hAnsi="Century Gothic"/>
          <w:noProof/>
          <w:sz w:val="18"/>
          <w:szCs w:val="18"/>
        </w:rPr>
        <w:t>, vol. 2016, 2016, doi: 10.1155/2016/4907654.</w:t>
      </w:r>
    </w:p>
    <w:p w14:paraId="2BAB022C"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[25]</w:t>
      </w:r>
      <w:r w:rsidRPr="00BB4057">
        <w:rPr>
          <w:rFonts w:ascii="Century Gothic" w:hAnsi="Century Gothic"/>
          <w:noProof/>
          <w:sz w:val="18"/>
          <w:szCs w:val="18"/>
        </w:rPr>
        <w:tab/>
        <w:t xml:space="preserve">V. Chung, J. Espinoza, and R. Quispe, “Forecasting Financial Volatility Under Structural Breaks: A Comparative Study of GARCH Models and Deep Learning Techniques,” </w:t>
      </w:r>
      <w:r w:rsidRPr="00BB4057">
        <w:rPr>
          <w:rFonts w:ascii="Century Gothic" w:hAnsi="Century Gothic"/>
          <w:i/>
          <w:iCs/>
          <w:noProof/>
          <w:sz w:val="18"/>
          <w:szCs w:val="18"/>
        </w:rPr>
        <w:t>J. Risk Financ. Manag.</w:t>
      </w:r>
      <w:r w:rsidRPr="00BB4057">
        <w:rPr>
          <w:rFonts w:ascii="Century Gothic" w:hAnsi="Century Gothic"/>
          <w:noProof/>
          <w:sz w:val="18"/>
          <w:szCs w:val="18"/>
        </w:rPr>
        <w:t>, vol. 18, no. 9, pp. 1–21, 2025, doi: 10.3390/jrfm18090494.</w:t>
      </w:r>
    </w:p>
    <w:p w14:paraId="5A7F1A37"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[26]</w:t>
      </w:r>
      <w:r w:rsidRPr="00BB4057">
        <w:rPr>
          <w:rFonts w:ascii="Century Gothic" w:hAnsi="Century Gothic"/>
          <w:noProof/>
          <w:sz w:val="18"/>
          <w:szCs w:val="18"/>
        </w:rPr>
        <w:tab/>
        <w:t xml:space="preserve">J. J. Durga, D. Ramesh, K. K. Prakash, and K. R. Kumar, “A comparative study of time series approaches for cotton price forecasting in Adoni market of Andhra Pradesh,” </w:t>
      </w:r>
      <w:r w:rsidRPr="00BB4057">
        <w:rPr>
          <w:rFonts w:ascii="Century Gothic" w:hAnsi="Century Gothic"/>
          <w:i/>
          <w:iCs/>
          <w:noProof/>
          <w:sz w:val="18"/>
          <w:szCs w:val="18"/>
        </w:rPr>
        <w:t>Int. J. Agric. Food Sci.</w:t>
      </w:r>
      <w:r w:rsidRPr="00BB4057">
        <w:rPr>
          <w:rFonts w:ascii="Century Gothic" w:hAnsi="Century Gothic"/>
          <w:noProof/>
          <w:sz w:val="18"/>
          <w:szCs w:val="18"/>
        </w:rPr>
        <w:t>, vol. 7, no. 12, pp. 36–43, 2025, doi: 10.33545/2664844x.2025.v7.i12a.1023.</w:t>
      </w:r>
    </w:p>
    <w:p w14:paraId="591D8DB7"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[27]</w:t>
      </w:r>
      <w:r w:rsidRPr="00BB4057">
        <w:rPr>
          <w:rFonts w:ascii="Century Gothic" w:hAnsi="Century Gothic"/>
          <w:noProof/>
          <w:sz w:val="18"/>
          <w:szCs w:val="18"/>
        </w:rPr>
        <w:tab/>
        <w:t xml:space="preserve">R. J. Hyndman and G. Athanasopoulos, </w:t>
      </w:r>
      <w:r w:rsidRPr="00BB4057">
        <w:rPr>
          <w:rFonts w:ascii="Century Gothic" w:hAnsi="Century Gothic"/>
          <w:i/>
          <w:iCs/>
          <w:noProof/>
          <w:sz w:val="18"/>
          <w:szCs w:val="18"/>
        </w:rPr>
        <w:t>Forecasting: Principles and Practice (3rd ed.). OTexts.</w:t>
      </w:r>
      <w:r w:rsidRPr="00BB4057">
        <w:rPr>
          <w:rFonts w:ascii="Century Gothic" w:hAnsi="Century Gothic"/>
          <w:noProof/>
          <w:sz w:val="18"/>
          <w:szCs w:val="18"/>
        </w:rPr>
        <w:t>, 3rd ed. Melbourne: OTexts, 2021. [Online]. Available: https://otexts.com/fpp3/</w:t>
      </w:r>
    </w:p>
    <w:p w14:paraId="5DD2883C" w14:textId="77777777" w:rsidR="00BB4057" w:rsidRPr="00BB4057" w:rsidRDefault="00BB4057" w:rsidP="00BB4057">
      <w:pPr>
        <w:widowControl w:val="0"/>
        <w:autoSpaceDE w:val="0"/>
        <w:autoSpaceDN w:val="0"/>
        <w:adjustRightInd w:val="0"/>
        <w:spacing w:after="60"/>
        <w:ind w:left="640" w:hanging="640"/>
        <w:rPr>
          <w:rFonts w:ascii="Century Gothic" w:hAnsi="Century Gothic"/>
          <w:noProof/>
          <w:sz w:val="18"/>
          <w:szCs w:val="18"/>
        </w:rPr>
      </w:pPr>
      <w:r w:rsidRPr="00BB4057">
        <w:rPr>
          <w:rFonts w:ascii="Century Gothic" w:hAnsi="Century Gothic"/>
          <w:noProof/>
          <w:sz w:val="18"/>
          <w:szCs w:val="18"/>
        </w:rPr>
        <w:t>[28]</w:t>
      </w:r>
      <w:r w:rsidRPr="00BB4057">
        <w:rPr>
          <w:rFonts w:ascii="Century Gothic" w:hAnsi="Century Gothic"/>
          <w:noProof/>
          <w:sz w:val="18"/>
          <w:szCs w:val="18"/>
        </w:rPr>
        <w:tab/>
        <w:t xml:space="preserve">C. Lewis, </w:t>
      </w:r>
      <w:r w:rsidRPr="00BB4057">
        <w:rPr>
          <w:rFonts w:ascii="Century Gothic" w:hAnsi="Century Gothic"/>
          <w:i/>
          <w:iCs/>
          <w:noProof/>
          <w:sz w:val="18"/>
          <w:szCs w:val="18"/>
        </w:rPr>
        <w:t>Industrial and Business Forecasting Methods: A Practical Guide to Exponential Smoothing and Curve Fitting</w:t>
      </w:r>
      <w:r w:rsidRPr="00BB4057">
        <w:rPr>
          <w:rFonts w:ascii="Century Gothic" w:hAnsi="Century Gothic"/>
          <w:noProof/>
          <w:sz w:val="18"/>
          <w:szCs w:val="18"/>
        </w:rPr>
        <w:t>. California: Butterworth Scientific, 1982.</w:t>
      </w:r>
    </w:p>
    <w:p w14:paraId="1FF9D0B3" w14:textId="0C3F9FD5" w:rsidR="007B76F7" w:rsidRDefault="007B76F7" w:rsidP="007B76F7">
      <w:pPr>
        <w:spacing w:after="60"/>
        <w:rPr>
          <w:rFonts w:ascii="Century Gothic" w:hAnsi="Century Gothic"/>
          <w:b/>
          <w:sz w:val="18"/>
          <w:szCs w:val="18"/>
        </w:rPr>
        <w:sectPr w:rsidR="007B76F7" w:rsidSect="0073658A">
          <w:type w:val="continuous"/>
          <w:pgSz w:w="12240" w:h="15840" w:code="1"/>
          <w:pgMar w:top="720" w:right="1094" w:bottom="950" w:left="1094" w:header="720" w:footer="720" w:gutter="0"/>
          <w:cols w:num="2" w:space="709"/>
        </w:sectPr>
      </w:pPr>
      <w:r w:rsidRPr="00BB4057">
        <w:rPr>
          <w:rFonts w:ascii="Century Gothic" w:hAnsi="Century Gothic"/>
          <w:b/>
          <w:sz w:val="18"/>
          <w:szCs w:val="18"/>
        </w:rPr>
        <w:fldChar w:fldCharType="end"/>
      </w:r>
    </w:p>
    <w:p w14:paraId="14BA2EFF" w14:textId="1E05308F" w:rsidR="00C70F36" w:rsidRPr="003A259F" w:rsidRDefault="00C70F36" w:rsidP="006E2E32">
      <w:pPr>
        <w:tabs>
          <w:tab w:val="left" w:pos="2988"/>
        </w:tabs>
        <w:rPr>
          <w:rFonts w:ascii="Century Gothic" w:hAnsi="Century Gothic"/>
        </w:rPr>
      </w:pPr>
    </w:p>
    <w:sectPr w:rsidR="00C70F36" w:rsidRPr="003A259F" w:rsidSect="00B66CC9">
      <w:type w:val="continuous"/>
      <w:pgSz w:w="12240" w:h="15840"/>
      <w:pgMar w:top="720" w:right="1094" w:bottom="950" w:left="1094" w:header="720" w:footer="720" w:gutter="0"/>
      <w:cols w:space="70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han Aldan Khairian" w:date="2026-04-10T11:09:00Z" w:initials="FA">
    <w:p w14:paraId="45084AEA" w14:textId="77777777" w:rsidR="00965BB1" w:rsidRDefault="00965BB1" w:rsidP="00965BB1">
      <w:pPr>
        <w:pStyle w:val="CommentText"/>
        <w:jc w:val="left"/>
      </w:pPr>
      <w:r>
        <w:rPr>
          <w:rStyle w:val="CommentReference"/>
        </w:rPr>
        <w:annotationRef/>
      </w:r>
      <w:r>
        <w:t>indeks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084AE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B22AFA" w16cex:dateUtc="2026-04-10T0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084AEA" w16cid:durableId="7BB22A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2E32" w14:textId="77777777" w:rsidR="005D34B5" w:rsidRDefault="005D34B5">
      <w:r>
        <w:separator/>
      </w:r>
    </w:p>
  </w:endnote>
  <w:endnote w:type="continuationSeparator" w:id="0">
    <w:p w14:paraId="6157D81F" w14:textId="77777777" w:rsidR="005D34B5" w:rsidRDefault="005D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85BC" w14:textId="77777777" w:rsidR="00C70F36" w:rsidRDefault="00C70F36">
    <w:pPr>
      <w:framePr w:wrap="around" w:vAnchor="text" w:hAnchor="margin" w:xAlign="right" w:y="1"/>
      <w:rPr>
        <w:rStyle w:val="PageNumber"/>
      </w:rPr>
    </w:pPr>
    <w:r>
      <w:rPr>
        <w:rStyle w:val="PageNumber"/>
      </w:rPr>
      <w:t xml:space="preserve">PAGE  </w:t>
    </w:r>
    <w:r>
      <w:rPr>
        <w:rStyle w:val="PageNumber"/>
        <w:noProof/>
      </w:rPr>
      <w:t>2</w:t>
    </w:r>
  </w:p>
  <w:p w14:paraId="5B155F87" w14:textId="77777777" w:rsidR="00C70F36" w:rsidRDefault="00C70F36">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221D" w14:textId="77777777" w:rsidR="00C70F36" w:rsidRDefault="00C70F36">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C09A" w14:textId="77777777" w:rsidR="00A1354C" w:rsidRDefault="00A1354C" w:rsidP="00A1354C">
    <w:pPr>
      <w:rPr>
        <w:sz w:val="16"/>
        <w:szCs w:val="16"/>
      </w:rPr>
    </w:pPr>
  </w:p>
  <w:p w14:paraId="25A299EE" w14:textId="77777777" w:rsidR="008329F0" w:rsidRPr="00BB3F74" w:rsidRDefault="00A365B2" w:rsidP="008329F0">
    <w:pPr>
      <w:pStyle w:val="Footer"/>
      <w:jc w:val="center"/>
      <w:rPr>
        <w:rFonts w:ascii="Century Gothic" w:hAnsi="Century Gothic"/>
        <w:b/>
        <w:color w:val="943634"/>
        <w:sz w:val="16"/>
        <w:szCs w:val="16"/>
      </w:rPr>
    </w:pPr>
    <w:r>
      <w:rPr>
        <w:rFonts w:ascii="Century Gothic" w:hAnsi="Century Gothic"/>
        <w:b/>
        <w:color w:val="943634"/>
        <w:sz w:val="16"/>
        <w:szCs w:val="16"/>
      </w:rPr>
      <w:t>78</w:t>
    </w:r>
    <w:r w:rsidR="003A421D" w:rsidRPr="00BB3F74">
      <w:rPr>
        <w:rFonts w:ascii="Century Gothic" w:hAnsi="Century Gothic"/>
        <w:b/>
        <w:color w:val="943634"/>
        <w:sz w:val="16"/>
        <w:szCs w:val="16"/>
      </w:rPr>
      <w:t>:1</w:t>
    </w:r>
    <w:r>
      <w:rPr>
        <w:rFonts w:ascii="Century Gothic" w:hAnsi="Century Gothic"/>
        <w:b/>
        <w:color w:val="943634"/>
        <w:sz w:val="16"/>
        <w:szCs w:val="16"/>
      </w:rPr>
      <w:t xml:space="preserve"> (2016) 1</w:t>
    </w:r>
    <w:r w:rsidR="00AD70D0" w:rsidRPr="00BB3F74">
      <w:rPr>
        <w:rFonts w:ascii="Century Gothic" w:hAnsi="Century Gothic"/>
        <w:b/>
        <w:color w:val="943634"/>
        <w:sz w:val="16"/>
        <w:szCs w:val="16"/>
      </w:rPr>
      <w:t>–</w:t>
    </w:r>
    <w:r>
      <w:rPr>
        <w:rFonts w:ascii="Century Gothic" w:hAnsi="Century Gothic"/>
        <w:b/>
        <w:color w:val="943634"/>
        <w:sz w:val="16"/>
        <w:szCs w:val="16"/>
      </w:rPr>
      <w:t>5</w:t>
    </w:r>
    <w:r w:rsidR="008329F0" w:rsidRPr="00BB3F74">
      <w:rPr>
        <w:rFonts w:ascii="Century Gothic" w:hAnsi="Century Gothic"/>
        <w:b/>
        <w:color w:val="943634"/>
        <w:sz w:val="16"/>
        <w:szCs w:val="16"/>
      </w:rPr>
      <w:t xml:space="preserve"> | www.jurnalteknologi.utm.my | </w:t>
    </w:r>
    <w:proofErr w:type="spellStart"/>
    <w:r w:rsidR="008329F0" w:rsidRPr="00BB3F74">
      <w:rPr>
        <w:rFonts w:ascii="Century Gothic" w:hAnsi="Century Gothic"/>
        <w:b/>
        <w:color w:val="943634"/>
        <w:sz w:val="16"/>
        <w:szCs w:val="16"/>
      </w:rPr>
      <w:t>eISSN</w:t>
    </w:r>
    <w:proofErr w:type="spellEnd"/>
    <w:r w:rsidR="008329F0" w:rsidRPr="00BB3F74">
      <w:rPr>
        <w:rFonts w:ascii="Century Gothic" w:hAnsi="Century Gothic"/>
        <w:b/>
        <w:color w:val="943634"/>
        <w:sz w:val="16"/>
        <w:szCs w:val="16"/>
      </w:rPr>
      <w:t xml:space="preserve"> 2180–3722 |</w:t>
    </w:r>
  </w:p>
  <w:p w14:paraId="69F80BF6" w14:textId="77777777" w:rsidR="00A1354C" w:rsidRPr="00FF7C3C" w:rsidRDefault="00A1354C">
    <w:pPr>
      <w:pStyle w:val="Footer"/>
      <w:rPr>
        <w:color w:val="C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6853C" w14:textId="77777777" w:rsidR="005D34B5" w:rsidRDefault="005D34B5">
      <w:r>
        <w:separator/>
      </w:r>
    </w:p>
  </w:footnote>
  <w:footnote w:type="continuationSeparator" w:id="0">
    <w:p w14:paraId="741BE5EC" w14:textId="77777777" w:rsidR="005D34B5" w:rsidRDefault="005D3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CDA8" w14:textId="77777777" w:rsidR="008329F0" w:rsidRPr="00BB3F74" w:rsidRDefault="008329F0" w:rsidP="008329F0">
    <w:pPr>
      <w:pStyle w:val="Header"/>
      <w:rPr>
        <w:rFonts w:ascii="Century Gothic" w:hAnsi="Century Gothic"/>
        <w:b/>
        <w:i/>
        <w:color w:val="943634"/>
        <w:sz w:val="16"/>
        <w:szCs w:val="16"/>
      </w:rPr>
    </w:pPr>
    <w:r w:rsidRPr="00BB3F74">
      <w:rPr>
        <w:rFonts w:ascii="Century Gothic" w:hAnsi="Century Gothic"/>
        <w:color w:val="943634"/>
        <w:sz w:val="16"/>
        <w:szCs w:val="16"/>
      </w:rPr>
      <w:fldChar w:fldCharType="begin"/>
    </w:r>
    <w:r w:rsidRPr="00BB3F74">
      <w:rPr>
        <w:rFonts w:ascii="Century Gothic" w:hAnsi="Century Gothic"/>
        <w:color w:val="943634"/>
        <w:sz w:val="16"/>
        <w:szCs w:val="16"/>
      </w:rPr>
      <w:instrText xml:space="preserve"> PAGE   \* MERGEFORMAT </w:instrText>
    </w:r>
    <w:r w:rsidRPr="00BB3F74">
      <w:rPr>
        <w:rFonts w:ascii="Century Gothic" w:hAnsi="Century Gothic"/>
        <w:color w:val="943634"/>
        <w:sz w:val="16"/>
        <w:szCs w:val="16"/>
      </w:rPr>
      <w:fldChar w:fldCharType="separate"/>
    </w:r>
    <w:r w:rsidR="00A96203">
      <w:rPr>
        <w:rFonts w:ascii="Century Gothic" w:hAnsi="Century Gothic"/>
        <w:noProof/>
        <w:color w:val="943634"/>
        <w:sz w:val="16"/>
        <w:szCs w:val="16"/>
      </w:rPr>
      <w:t>8</w:t>
    </w:r>
    <w:r w:rsidRPr="00BB3F74">
      <w:rPr>
        <w:rFonts w:ascii="Century Gothic" w:hAnsi="Century Gothic"/>
        <w:color w:val="943634"/>
        <w:sz w:val="16"/>
        <w:szCs w:val="16"/>
      </w:rPr>
      <w:fldChar w:fldCharType="end"/>
    </w:r>
    <w:r w:rsidRPr="00BB3F74">
      <w:rPr>
        <w:rFonts w:ascii="Century Gothic" w:hAnsi="Century Gothic"/>
        <w:i/>
        <w:color w:val="943634"/>
        <w:sz w:val="16"/>
        <w:szCs w:val="16"/>
      </w:rPr>
      <w:t xml:space="preserve">  </w:t>
    </w:r>
    <w:r w:rsidRPr="00BB3F74">
      <w:rPr>
        <w:rFonts w:ascii="Century Gothic" w:hAnsi="Century Gothic"/>
        <w:b/>
        <w:i/>
        <w:color w:val="943634"/>
        <w:sz w:val="16"/>
        <w:szCs w:val="16"/>
      </w:rPr>
      <w:t xml:space="preserve">                   </w:t>
    </w:r>
    <w:r w:rsidR="00AD70D0" w:rsidRPr="00BB3F74">
      <w:rPr>
        <w:rFonts w:ascii="Century Gothic" w:hAnsi="Century Gothic"/>
        <w:b/>
        <w:i/>
        <w:color w:val="943634"/>
        <w:sz w:val="16"/>
        <w:szCs w:val="16"/>
      </w:rPr>
      <w:t xml:space="preserve">   </w:t>
    </w:r>
    <w:r w:rsidR="00A365B2">
      <w:rPr>
        <w:rFonts w:ascii="Century Gothic" w:hAnsi="Century Gothic"/>
        <w:b/>
        <w:i/>
        <w:color w:val="943634"/>
        <w:sz w:val="16"/>
        <w:szCs w:val="16"/>
      </w:rPr>
      <w:t xml:space="preserve">          </w:t>
    </w:r>
    <w:r w:rsidR="00C72B16">
      <w:rPr>
        <w:rFonts w:ascii="Century Gothic" w:hAnsi="Century Gothic"/>
        <w:b/>
        <w:i/>
        <w:color w:val="943634"/>
        <w:sz w:val="16"/>
        <w:szCs w:val="16"/>
      </w:rPr>
      <w:tab/>
      <w:t xml:space="preserve">              Azizul et al</w:t>
    </w:r>
    <w:r w:rsidR="00263773">
      <w:rPr>
        <w:rFonts w:ascii="Century Gothic" w:hAnsi="Century Gothic"/>
        <w:b/>
        <w:i/>
        <w:color w:val="943634"/>
        <w:sz w:val="16"/>
        <w:szCs w:val="16"/>
      </w:rPr>
      <w:t>.</w:t>
    </w:r>
    <w:r w:rsidR="00AD70D0" w:rsidRPr="00BB3F74">
      <w:rPr>
        <w:rFonts w:ascii="Century Gothic" w:hAnsi="Century Gothic"/>
        <w:b/>
        <w:i/>
        <w:color w:val="943634"/>
        <w:sz w:val="16"/>
        <w:szCs w:val="16"/>
      </w:rPr>
      <w:t xml:space="preserve"> </w:t>
    </w:r>
    <w:r w:rsidRPr="00BB3F74">
      <w:rPr>
        <w:rFonts w:ascii="Century Gothic" w:hAnsi="Century Gothic"/>
        <w:b/>
        <w:i/>
        <w:color w:val="943634"/>
        <w:sz w:val="16"/>
        <w:szCs w:val="16"/>
      </w:rPr>
      <w:t xml:space="preserve">/ </w:t>
    </w:r>
    <w:proofErr w:type="spellStart"/>
    <w:r w:rsidRPr="00BB3F74">
      <w:rPr>
        <w:rFonts w:ascii="Century Gothic" w:hAnsi="Century Gothic"/>
        <w:b/>
        <w:i/>
        <w:color w:val="943634"/>
        <w:sz w:val="16"/>
        <w:szCs w:val="16"/>
      </w:rPr>
      <w:t>Jurnal</w:t>
    </w:r>
    <w:proofErr w:type="spellEnd"/>
    <w:r w:rsidRPr="00BB3F74">
      <w:rPr>
        <w:rFonts w:ascii="Century Gothic" w:hAnsi="Century Gothic"/>
        <w:b/>
        <w:i/>
        <w:color w:val="943634"/>
        <w:sz w:val="16"/>
        <w:szCs w:val="16"/>
      </w:rPr>
      <w:t xml:space="preserve"> </w:t>
    </w:r>
    <w:proofErr w:type="spellStart"/>
    <w:r w:rsidRPr="00BB3F74">
      <w:rPr>
        <w:rFonts w:ascii="Century Gothic" w:hAnsi="Century Gothic"/>
        <w:b/>
        <w:i/>
        <w:color w:val="943634"/>
        <w:sz w:val="16"/>
        <w:szCs w:val="16"/>
      </w:rPr>
      <w:t>Tekno</w:t>
    </w:r>
    <w:r w:rsidR="00A365B2">
      <w:rPr>
        <w:rFonts w:ascii="Century Gothic" w:hAnsi="Century Gothic"/>
        <w:b/>
        <w:i/>
        <w:color w:val="943634"/>
        <w:sz w:val="16"/>
        <w:szCs w:val="16"/>
      </w:rPr>
      <w:t>logi</w:t>
    </w:r>
    <w:proofErr w:type="spellEnd"/>
    <w:r w:rsidR="00A365B2">
      <w:rPr>
        <w:rFonts w:ascii="Century Gothic" w:hAnsi="Century Gothic"/>
        <w:b/>
        <w:i/>
        <w:color w:val="943634"/>
        <w:sz w:val="16"/>
        <w:szCs w:val="16"/>
      </w:rPr>
      <w:t xml:space="preserve"> (Sciences &amp; Engineering) </w:t>
    </w:r>
    <w:r w:rsidR="00F53AFD">
      <w:rPr>
        <w:rFonts w:ascii="Century Gothic" w:hAnsi="Century Gothic"/>
        <w:b/>
        <w:i/>
        <w:color w:val="943634"/>
        <w:sz w:val="16"/>
        <w:szCs w:val="16"/>
      </w:rPr>
      <w:t>83</w:t>
    </w:r>
    <w:r w:rsidR="00A365B2" w:rsidRPr="00A365B2">
      <w:rPr>
        <w:rFonts w:ascii="Century Gothic" w:hAnsi="Century Gothic"/>
        <w:b/>
        <w:i/>
        <w:color w:val="943634"/>
        <w:sz w:val="16"/>
        <w:szCs w:val="16"/>
      </w:rPr>
      <w:t>:1 (20</w:t>
    </w:r>
    <w:r w:rsidR="00F53AFD">
      <w:rPr>
        <w:rFonts w:ascii="Century Gothic" w:hAnsi="Century Gothic"/>
        <w:b/>
        <w:i/>
        <w:color w:val="943634"/>
        <w:sz w:val="16"/>
        <w:szCs w:val="16"/>
      </w:rPr>
      <w:t>21</w:t>
    </w:r>
    <w:r w:rsidR="00A365B2" w:rsidRPr="00A365B2">
      <w:rPr>
        <w:rFonts w:ascii="Century Gothic" w:hAnsi="Century Gothic"/>
        <w:b/>
        <w:i/>
        <w:color w:val="943634"/>
        <w:sz w:val="16"/>
        <w:szCs w:val="16"/>
      </w:rPr>
      <w:t>) 1–5</w:t>
    </w:r>
  </w:p>
  <w:p w14:paraId="4C626CD7" w14:textId="77777777" w:rsidR="00893B41" w:rsidRDefault="00893B41" w:rsidP="00893B4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1D3C"/>
    <w:multiLevelType w:val="singleLevel"/>
    <w:tmpl w:val="741E22E4"/>
    <w:lvl w:ilvl="0">
      <w:start w:val="1"/>
      <w:numFmt w:val="lowerLetter"/>
      <w:lvlText w:val="%1."/>
      <w:lvlJc w:val="left"/>
      <w:pPr>
        <w:tabs>
          <w:tab w:val="num" w:pos="1080"/>
        </w:tabs>
        <w:ind w:left="1080" w:hanging="360"/>
      </w:pPr>
      <w:rPr>
        <w:rFonts w:hint="default"/>
      </w:rPr>
    </w:lvl>
  </w:abstractNum>
  <w:abstractNum w:abstractNumId="1" w15:restartNumberingAfterBreak="0">
    <w:nsid w:val="2AB65625"/>
    <w:multiLevelType w:val="hybridMultilevel"/>
    <w:tmpl w:val="24006E96"/>
    <w:lvl w:ilvl="0" w:tplc="7B0C075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E1D50BE"/>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4"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6F354B3"/>
    <w:multiLevelType w:val="singleLevel"/>
    <w:tmpl w:val="3926CAA2"/>
    <w:lvl w:ilvl="0">
      <w:start w:val="1"/>
      <w:numFmt w:val="upperLetter"/>
      <w:lvlText w:val="%1."/>
      <w:lvlJc w:val="left"/>
      <w:pPr>
        <w:tabs>
          <w:tab w:val="num" w:pos="720"/>
        </w:tabs>
        <w:ind w:left="720" w:hanging="360"/>
      </w:pPr>
      <w:rPr>
        <w:rFonts w:hint="default"/>
      </w:rPr>
    </w:lvl>
  </w:abstractNum>
  <w:abstractNum w:abstractNumId="6" w15:restartNumberingAfterBreak="0">
    <w:nsid w:val="373D5648"/>
    <w:multiLevelType w:val="singleLevel"/>
    <w:tmpl w:val="B030C926"/>
    <w:lvl w:ilvl="0">
      <w:start w:val="1"/>
      <w:numFmt w:val="upperLetter"/>
      <w:lvlText w:val="%1."/>
      <w:lvlJc w:val="left"/>
      <w:pPr>
        <w:tabs>
          <w:tab w:val="num" w:pos="720"/>
        </w:tabs>
        <w:ind w:left="720" w:hanging="360"/>
      </w:pPr>
      <w:rPr>
        <w:rFonts w:hint="default"/>
      </w:rPr>
    </w:lvl>
  </w:abstractNum>
  <w:abstractNum w:abstractNumId="7"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37685F36"/>
    <w:multiLevelType w:val="multilevel"/>
    <w:tmpl w:val="EA70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5C3586"/>
    <w:multiLevelType w:val="hybridMultilevel"/>
    <w:tmpl w:val="5A7CE2BA"/>
    <w:lvl w:ilvl="0" w:tplc="FC54B10A">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1"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2" w15:restartNumberingAfterBreak="0">
    <w:nsid w:val="445115B5"/>
    <w:multiLevelType w:val="multilevel"/>
    <w:tmpl w:val="F09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40282"/>
    <w:multiLevelType w:val="hybridMultilevel"/>
    <w:tmpl w:val="E2847A56"/>
    <w:lvl w:ilvl="0" w:tplc="B62066A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7BE55839"/>
    <w:multiLevelType w:val="hybridMultilevel"/>
    <w:tmpl w:val="BC44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348831">
    <w:abstractNumId w:val="10"/>
  </w:num>
  <w:num w:numId="2" w16cid:durableId="1341540017">
    <w:abstractNumId w:val="2"/>
  </w:num>
  <w:num w:numId="3" w16cid:durableId="1021589954">
    <w:abstractNumId w:val="7"/>
  </w:num>
  <w:num w:numId="4" w16cid:durableId="2081058741">
    <w:abstractNumId w:val="11"/>
  </w:num>
  <w:num w:numId="5" w16cid:durableId="940796870">
    <w:abstractNumId w:val="4"/>
  </w:num>
  <w:num w:numId="6" w16cid:durableId="1400517855">
    <w:abstractNumId w:val="3"/>
  </w:num>
  <w:num w:numId="7" w16cid:durableId="377706678">
    <w:abstractNumId w:val="6"/>
  </w:num>
  <w:num w:numId="8" w16cid:durableId="2000648373">
    <w:abstractNumId w:val="5"/>
  </w:num>
  <w:num w:numId="9" w16cid:durableId="261570819">
    <w:abstractNumId w:val="0"/>
  </w:num>
  <w:num w:numId="10" w16cid:durableId="1100491267">
    <w:abstractNumId w:val="1"/>
  </w:num>
  <w:num w:numId="11" w16cid:durableId="1855267984">
    <w:abstractNumId w:val="14"/>
  </w:num>
  <w:num w:numId="12" w16cid:durableId="1744521286">
    <w:abstractNumId w:val="13"/>
  </w:num>
  <w:num w:numId="13" w16cid:durableId="1703628265">
    <w:abstractNumId w:val="9"/>
  </w:num>
  <w:num w:numId="14" w16cid:durableId="993797577">
    <w:abstractNumId w:val="8"/>
  </w:num>
  <w:num w:numId="15" w16cid:durableId="63722429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an Aldan Khairian">
    <w15:presenceInfo w15:providerId="Windows Live" w15:userId="1426e6ce586be0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06"/>
    <w:rsid w:val="000020C2"/>
    <w:rsid w:val="00002B29"/>
    <w:rsid w:val="0000697E"/>
    <w:rsid w:val="00007003"/>
    <w:rsid w:val="000158B4"/>
    <w:rsid w:val="00016F3C"/>
    <w:rsid w:val="00021057"/>
    <w:rsid w:val="0002478D"/>
    <w:rsid w:val="00034AFC"/>
    <w:rsid w:val="00034F92"/>
    <w:rsid w:val="000402B2"/>
    <w:rsid w:val="0004161F"/>
    <w:rsid w:val="00042253"/>
    <w:rsid w:val="00042E23"/>
    <w:rsid w:val="00055C1F"/>
    <w:rsid w:val="0006203E"/>
    <w:rsid w:val="00065052"/>
    <w:rsid w:val="00065B47"/>
    <w:rsid w:val="00071614"/>
    <w:rsid w:val="00085764"/>
    <w:rsid w:val="0008590A"/>
    <w:rsid w:val="00086C85"/>
    <w:rsid w:val="00087378"/>
    <w:rsid w:val="000915E8"/>
    <w:rsid w:val="0009269C"/>
    <w:rsid w:val="00092E38"/>
    <w:rsid w:val="000955C8"/>
    <w:rsid w:val="000957CA"/>
    <w:rsid w:val="00096E0D"/>
    <w:rsid w:val="000A0BB8"/>
    <w:rsid w:val="000A325E"/>
    <w:rsid w:val="000A368C"/>
    <w:rsid w:val="000A47AE"/>
    <w:rsid w:val="000A6C3D"/>
    <w:rsid w:val="000A7AA8"/>
    <w:rsid w:val="000B0543"/>
    <w:rsid w:val="000B141B"/>
    <w:rsid w:val="000B30E0"/>
    <w:rsid w:val="000B486C"/>
    <w:rsid w:val="000B5B0D"/>
    <w:rsid w:val="000C2A99"/>
    <w:rsid w:val="000C38AD"/>
    <w:rsid w:val="000D0610"/>
    <w:rsid w:val="000D29A1"/>
    <w:rsid w:val="000D5946"/>
    <w:rsid w:val="000D62A1"/>
    <w:rsid w:val="000E3A6E"/>
    <w:rsid w:val="000F05F7"/>
    <w:rsid w:val="000F14C5"/>
    <w:rsid w:val="000F48BA"/>
    <w:rsid w:val="000F687C"/>
    <w:rsid w:val="00102411"/>
    <w:rsid w:val="001047DD"/>
    <w:rsid w:val="00106F29"/>
    <w:rsid w:val="00107610"/>
    <w:rsid w:val="00110294"/>
    <w:rsid w:val="00111885"/>
    <w:rsid w:val="00111E7D"/>
    <w:rsid w:val="001122CF"/>
    <w:rsid w:val="00112382"/>
    <w:rsid w:val="001127A2"/>
    <w:rsid w:val="00116971"/>
    <w:rsid w:val="001209C3"/>
    <w:rsid w:val="00122288"/>
    <w:rsid w:val="0012374E"/>
    <w:rsid w:val="00130073"/>
    <w:rsid w:val="00130239"/>
    <w:rsid w:val="00131758"/>
    <w:rsid w:val="001416DF"/>
    <w:rsid w:val="001417C9"/>
    <w:rsid w:val="00143F8B"/>
    <w:rsid w:val="0014653A"/>
    <w:rsid w:val="001509E9"/>
    <w:rsid w:val="001518BE"/>
    <w:rsid w:val="001577FA"/>
    <w:rsid w:val="0016039A"/>
    <w:rsid w:val="001606EE"/>
    <w:rsid w:val="00160B2A"/>
    <w:rsid w:val="001651E8"/>
    <w:rsid w:val="00165FDC"/>
    <w:rsid w:val="00170167"/>
    <w:rsid w:val="0017087B"/>
    <w:rsid w:val="00173583"/>
    <w:rsid w:val="001757BD"/>
    <w:rsid w:val="001800B7"/>
    <w:rsid w:val="00185238"/>
    <w:rsid w:val="00190B1B"/>
    <w:rsid w:val="001947C6"/>
    <w:rsid w:val="00196380"/>
    <w:rsid w:val="001A0E3A"/>
    <w:rsid w:val="001B6507"/>
    <w:rsid w:val="001B658A"/>
    <w:rsid w:val="001C12F1"/>
    <w:rsid w:val="001C505B"/>
    <w:rsid w:val="001C51FA"/>
    <w:rsid w:val="001C5DDE"/>
    <w:rsid w:val="001C72D3"/>
    <w:rsid w:val="001D15DA"/>
    <w:rsid w:val="001D3C5A"/>
    <w:rsid w:val="001D3EC2"/>
    <w:rsid w:val="001D4FC9"/>
    <w:rsid w:val="001D7900"/>
    <w:rsid w:val="001E4D4E"/>
    <w:rsid w:val="001E5A35"/>
    <w:rsid w:val="001E78CA"/>
    <w:rsid w:val="001F07D4"/>
    <w:rsid w:val="001F5C1D"/>
    <w:rsid w:val="001F75DD"/>
    <w:rsid w:val="002033F1"/>
    <w:rsid w:val="0021044B"/>
    <w:rsid w:val="002116F9"/>
    <w:rsid w:val="00212650"/>
    <w:rsid w:val="002135E9"/>
    <w:rsid w:val="002139CA"/>
    <w:rsid w:val="0021466E"/>
    <w:rsid w:val="00214F9C"/>
    <w:rsid w:val="002152DC"/>
    <w:rsid w:val="002170C3"/>
    <w:rsid w:val="0022152A"/>
    <w:rsid w:val="00222B15"/>
    <w:rsid w:val="00223934"/>
    <w:rsid w:val="00224E57"/>
    <w:rsid w:val="00230A86"/>
    <w:rsid w:val="00231DD9"/>
    <w:rsid w:val="00231FAE"/>
    <w:rsid w:val="0023667B"/>
    <w:rsid w:val="00241E6D"/>
    <w:rsid w:val="002420CF"/>
    <w:rsid w:val="002442AD"/>
    <w:rsid w:val="00244713"/>
    <w:rsid w:val="002515A7"/>
    <w:rsid w:val="00252701"/>
    <w:rsid w:val="00253D79"/>
    <w:rsid w:val="0025415E"/>
    <w:rsid w:val="0025583F"/>
    <w:rsid w:val="00255E6D"/>
    <w:rsid w:val="002562BF"/>
    <w:rsid w:val="002565CE"/>
    <w:rsid w:val="00256796"/>
    <w:rsid w:val="00256C64"/>
    <w:rsid w:val="00257D4C"/>
    <w:rsid w:val="00261507"/>
    <w:rsid w:val="002619BC"/>
    <w:rsid w:val="00261C70"/>
    <w:rsid w:val="00262AA4"/>
    <w:rsid w:val="00262E24"/>
    <w:rsid w:val="00263773"/>
    <w:rsid w:val="002748CC"/>
    <w:rsid w:val="00276E18"/>
    <w:rsid w:val="00277517"/>
    <w:rsid w:val="002906CC"/>
    <w:rsid w:val="002909A4"/>
    <w:rsid w:val="00293F06"/>
    <w:rsid w:val="00294390"/>
    <w:rsid w:val="00295633"/>
    <w:rsid w:val="002A1178"/>
    <w:rsid w:val="002A25F5"/>
    <w:rsid w:val="002A3107"/>
    <w:rsid w:val="002A400B"/>
    <w:rsid w:val="002A6219"/>
    <w:rsid w:val="002A6DDB"/>
    <w:rsid w:val="002B7FD2"/>
    <w:rsid w:val="002C01C1"/>
    <w:rsid w:val="002C1EA4"/>
    <w:rsid w:val="002C577D"/>
    <w:rsid w:val="002C7078"/>
    <w:rsid w:val="002C74B5"/>
    <w:rsid w:val="002D3B02"/>
    <w:rsid w:val="002D51FD"/>
    <w:rsid w:val="002D5906"/>
    <w:rsid w:val="002D59D8"/>
    <w:rsid w:val="002D6629"/>
    <w:rsid w:val="002D7729"/>
    <w:rsid w:val="002E1769"/>
    <w:rsid w:val="002E2571"/>
    <w:rsid w:val="002E2D9A"/>
    <w:rsid w:val="002E377C"/>
    <w:rsid w:val="002E5A72"/>
    <w:rsid w:val="002F423F"/>
    <w:rsid w:val="002F48CA"/>
    <w:rsid w:val="002F5053"/>
    <w:rsid w:val="002F52A7"/>
    <w:rsid w:val="002F61D6"/>
    <w:rsid w:val="002F7C2B"/>
    <w:rsid w:val="00312C94"/>
    <w:rsid w:val="003136B2"/>
    <w:rsid w:val="00315359"/>
    <w:rsid w:val="00315994"/>
    <w:rsid w:val="003208A1"/>
    <w:rsid w:val="003244D2"/>
    <w:rsid w:val="00324F2F"/>
    <w:rsid w:val="0032622C"/>
    <w:rsid w:val="00326950"/>
    <w:rsid w:val="00332153"/>
    <w:rsid w:val="00332D54"/>
    <w:rsid w:val="003338AE"/>
    <w:rsid w:val="003348B3"/>
    <w:rsid w:val="00343E9F"/>
    <w:rsid w:val="00345DD2"/>
    <w:rsid w:val="00346586"/>
    <w:rsid w:val="00352C8C"/>
    <w:rsid w:val="0035416B"/>
    <w:rsid w:val="00354A6F"/>
    <w:rsid w:val="00354EF4"/>
    <w:rsid w:val="0035576A"/>
    <w:rsid w:val="003561E9"/>
    <w:rsid w:val="00357974"/>
    <w:rsid w:val="00361A36"/>
    <w:rsid w:val="00362D44"/>
    <w:rsid w:val="00362FF3"/>
    <w:rsid w:val="00364D50"/>
    <w:rsid w:val="00371167"/>
    <w:rsid w:val="00373039"/>
    <w:rsid w:val="003733E2"/>
    <w:rsid w:val="00373F60"/>
    <w:rsid w:val="00375D60"/>
    <w:rsid w:val="003810C0"/>
    <w:rsid w:val="003837B0"/>
    <w:rsid w:val="00383986"/>
    <w:rsid w:val="003845EA"/>
    <w:rsid w:val="0038519B"/>
    <w:rsid w:val="0038619C"/>
    <w:rsid w:val="003869D7"/>
    <w:rsid w:val="00391271"/>
    <w:rsid w:val="003963C3"/>
    <w:rsid w:val="00396E89"/>
    <w:rsid w:val="003A1EFD"/>
    <w:rsid w:val="003A259F"/>
    <w:rsid w:val="003A421D"/>
    <w:rsid w:val="003A757F"/>
    <w:rsid w:val="003B092B"/>
    <w:rsid w:val="003B1B71"/>
    <w:rsid w:val="003B2037"/>
    <w:rsid w:val="003B3C14"/>
    <w:rsid w:val="003B45AB"/>
    <w:rsid w:val="003C644B"/>
    <w:rsid w:val="003C6D9E"/>
    <w:rsid w:val="003C74D8"/>
    <w:rsid w:val="003D1049"/>
    <w:rsid w:val="003D17EE"/>
    <w:rsid w:val="003D1869"/>
    <w:rsid w:val="003D2E4B"/>
    <w:rsid w:val="003E56A3"/>
    <w:rsid w:val="003E7403"/>
    <w:rsid w:val="003F3374"/>
    <w:rsid w:val="003F3773"/>
    <w:rsid w:val="003F58C7"/>
    <w:rsid w:val="003F77F9"/>
    <w:rsid w:val="00401289"/>
    <w:rsid w:val="00404B1C"/>
    <w:rsid w:val="00404F11"/>
    <w:rsid w:val="00406E80"/>
    <w:rsid w:val="004208F9"/>
    <w:rsid w:val="004238A6"/>
    <w:rsid w:val="004253D2"/>
    <w:rsid w:val="004266EB"/>
    <w:rsid w:val="004331E1"/>
    <w:rsid w:val="004336F6"/>
    <w:rsid w:val="00442A21"/>
    <w:rsid w:val="00442DBB"/>
    <w:rsid w:val="00451C02"/>
    <w:rsid w:val="0045629E"/>
    <w:rsid w:val="00456CAC"/>
    <w:rsid w:val="004608DB"/>
    <w:rsid w:val="00466BB5"/>
    <w:rsid w:val="00470C4F"/>
    <w:rsid w:val="0047589A"/>
    <w:rsid w:val="00477592"/>
    <w:rsid w:val="004848D2"/>
    <w:rsid w:val="004875A4"/>
    <w:rsid w:val="00497662"/>
    <w:rsid w:val="004A2422"/>
    <w:rsid w:val="004A6455"/>
    <w:rsid w:val="004A65A2"/>
    <w:rsid w:val="004A6F93"/>
    <w:rsid w:val="004B10D2"/>
    <w:rsid w:val="004B2052"/>
    <w:rsid w:val="004B23C5"/>
    <w:rsid w:val="004B488E"/>
    <w:rsid w:val="004B5C6F"/>
    <w:rsid w:val="004C17D5"/>
    <w:rsid w:val="004C23B0"/>
    <w:rsid w:val="004C5527"/>
    <w:rsid w:val="004C568A"/>
    <w:rsid w:val="004C5B97"/>
    <w:rsid w:val="004C6851"/>
    <w:rsid w:val="004D671D"/>
    <w:rsid w:val="004E2D67"/>
    <w:rsid w:val="004E541C"/>
    <w:rsid w:val="004F14AF"/>
    <w:rsid w:val="004F19ED"/>
    <w:rsid w:val="004F2C8B"/>
    <w:rsid w:val="004F2D19"/>
    <w:rsid w:val="004F5F8F"/>
    <w:rsid w:val="00504C2F"/>
    <w:rsid w:val="00505C90"/>
    <w:rsid w:val="005074E0"/>
    <w:rsid w:val="0051094C"/>
    <w:rsid w:val="00512089"/>
    <w:rsid w:val="005120AB"/>
    <w:rsid w:val="00513AE1"/>
    <w:rsid w:val="005151FB"/>
    <w:rsid w:val="00515746"/>
    <w:rsid w:val="005233D7"/>
    <w:rsid w:val="00526227"/>
    <w:rsid w:val="00530852"/>
    <w:rsid w:val="00533850"/>
    <w:rsid w:val="005349DC"/>
    <w:rsid w:val="00536CC0"/>
    <w:rsid w:val="00537162"/>
    <w:rsid w:val="00542BE6"/>
    <w:rsid w:val="00543CE3"/>
    <w:rsid w:val="005473A7"/>
    <w:rsid w:val="005524A2"/>
    <w:rsid w:val="00552796"/>
    <w:rsid w:val="00552FFA"/>
    <w:rsid w:val="00556784"/>
    <w:rsid w:val="0055721B"/>
    <w:rsid w:val="00561EE3"/>
    <w:rsid w:val="00562FAF"/>
    <w:rsid w:val="00574278"/>
    <w:rsid w:val="00575E42"/>
    <w:rsid w:val="005818BF"/>
    <w:rsid w:val="00584BA3"/>
    <w:rsid w:val="00585677"/>
    <w:rsid w:val="005868DB"/>
    <w:rsid w:val="00587170"/>
    <w:rsid w:val="00590B0C"/>
    <w:rsid w:val="00590CC2"/>
    <w:rsid w:val="0059438C"/>
    <w:rsid w:val="005954F4"/>
    <w:rsid w:val="00595D13"/>
    <w:rsid w:val="005969CC"/>
    <w:rsid w:val="005A13D9"/>
    <w:rsid w:val="005A23B3"/>
    <w:rsid w:val="005A2E2E"/>
    <w:rsid w:val="005A31A1"/>
    <w:rsid w:val="005A5A51"/>
    <w:rsid w:val="005B31A0"/>
    <w:rsid w:val="005C15B2"/>
    <w:rsid w:val="005C2CC9"/>
    <w:rsid w:val="005C54BF"/>
    <w:rsid w:val="005C5BEE"/>
    <w:rsid w:val="005C64E2"/>
    <w:rsid w:val="005D0D5A"/>
    <w:rsid w:val="005D34B5"/>
    <w:rsid w:val="005E3FE5"/>
    <w:rsid w:val="005E5F3A"/>
    <w:rsid w:val="005E7E7E"/>
    <w:rsid w:val="005E7F0D"/>
    <w:rsid w:val="005F000D"/>
    <w:rsid w:val="005F1E63"/>
    <w:rsid w:val="00601800"/>
    <w:rsid w:val="00602202"/>
    <w:rsid w:val="0060490E"/>
    <w:rsid w:val="00606080"/>
    <w:rsid w:val="00607A08"/>
    <w:rsid w:val="006102CD"/>
    <w:rsid w:val="00610721"/>
    <w:rsid w:val="00615225"/>
    <w:rsid w:val="00620A96"/>
    <w:rsid w:val="00624FA8"/>
    <w:rsid w:val="00625B49"/>
    <w:rsid w:val="00625C5D"/>
    <w:rsid w:val="00631A8D"/>
    <w:rsid w:val="006362DD"/>
    <w:rsid w:val="00637507"/>
    <w:rsid w:val="00637F56"/>
    <w:rsid w:val="006432E2"/>
    <w:rsid w:val="00643CD0"/>
    <w:rsid w:val="00647017"/>
    <w:rsid w:val="00647599"/>
    <w:rsid w:val="00652F24"/>
    <w:rsid w:val="00653EF2"/>
    <w:rsid w:val="006568B0"/>
    <w:rsid w:val="0066075E"/>
    <w:rsid w:val="00664CB9"/>
    <w:rsid w:val="00670951"/>
    <w:rsid w:val="00670970"/>
    <w:rsid w:val="006754D2"/>
    <w:rsid w:val="0067581B"/>
    <w:rsid w:val="00680094"/>
    <w:rsid w:val="00681E55"/>
    <w:rsid w:val="0068555C"/>
    <w:rsid w:val="00685EE1"/>
    <w:rsid w:val="00686EBC"/>
    <w:rsid w:val="006872A4"/>
    <w:rsid w:val="0068775B"/>
    <w:rsid w:val="006947B2"/>
    <w:rsid w:val="006949E5"/>
    <w:rsid w:val="0069561F"/>
    <w:rsid w:val="0069616D"/>
    <w:rsid w:val="006969BA"/>
    <w:rsid w:val="006A15F9"/>
    <w:rsid w:val="006A2FC4"/>
    <w:rsid w:val="006A7079"/>
    <w:rsid w:val="006B0AD5"/>
    <w:rsid w:val="006B3D0C"/>
    <w:rsid w:val="006C6C54"/>
    <w:rsid w:val="006D11EC"/>
    <w:rsid w:val="006D2D71"/>
    <w:rsid w:val="006D6DEB"/>
    <w:rsid w:val="006D6F7F"/>
    <w:rsid w:val="006E0012"/>
    <w:rsid w:val="006E02C8"/>
    <w:rsid w:val="006E1A14"/>
    <w:rsid w:val="006E28D3"/>
    <w:rsid w:val="006E29F3"/>
    <w:rsid w:val="006E2E32"/>
    <w:rsid w:val="006E7C59"/>
    <w:rsid w:val="006F19A9"/>
    <w:rsid w:val="006F5C05"/>
    <w:rsid w:val="007019E6"/>
    <w:rsid w:val="00703C13"/>
    <w:rsid w:val="00705B68"/>
    <w:rsid w:val="00710909"/>
    <w:rsid w:val="0071092B"/>
    <w:rsid w:val="00710DAF"/>
    <w:rsid w:val="00713082"/>
    <w:rsid w:val="007156A0"/>
    <w:rsid w:val="00715BE1"/>
    <w:rsid w:val="00720EEF"/>
    <w:rsid w:val="007213CD"/>
    <w:rsid w:val="00725152"/>
    <w:rsid w:val="00725E19"/>
    <w:rsid w:val="0072709B"/>
    <w:rsid w:val="00727A10"/>
    <w:rsid w:val="007346AA"/>
    <w:rsid w:val="00736470"/>
    <w:rsid w:val="0073658A"/>
    <w:rsid w:val="00737D69"/>
    <w:rsid w:val="0074296A"/>
    <w:rsid w:val="0074428D"/>
    <w:rsid w:val="0075066D"/>
    <w:rsid w:val="00750F60"/>
    <w:rsid w:val="00754548"/>
    <w:rsid w:val="007605D1"/>
    <w:rsid w:val="007621C7"/>
    <w:rsid w:val="0076465D"/>
    <w:rsid w:val="00764F0F"/>
    <w:rsid w:val="00766BA9"/>
    <w:rsid w:val="007702F3"/>
    <w:rsid w:val="007742FD"/>
    <w:rsid w:val="00774379"/>
    <w:rsid w:val="0077796E"/>
    <w:rsid w:val="00780054"/>
    <w:rsid w:val="0078042A"/>
    <w:rsid w:val="007827B4"/>
    <w:rsid w:val="007841D7"/>
    <w:rsid w:val="007876E2"/>
    <w:rsid w:val="00787DC8"/>
    <w:rsid w:val="00793CAD"/>
    <w:rsid w:val="00794502"/>
    <w:rsid w:val="00795FCE"/>
    <w:rsid w:val="00796170"/>
    <w:rsid w:val="0079740B"/>
    <w:rsid w:val="00797768"/>
    <w:rsid w:val="00797A63"/>
    <w:rsid w:val="00797F64"/>
    <w:rsid w:val="007A3EAD"/>
    <w:rsid w:val="007A68C5"/>
    <w:rsid w:val="007A69A7"/>
    <w:rsid w:val="007A7A6D"/>
    <w:rsid w:val="007B3C65"/>
    <w:rsid w:val="007B636B"/>
    <w:rsid w:val="007B6788"/>
    <w:rsid w:val="007B76F7"/>
    <w:rsid w:val="007B7FB4"/>
    <w:rsid w:val="007C29CD"/>
    <w:rsid w:val="007C7DBB"/>
    <w:rsid w:val="007D0C90"/>
    <w:rsid w:val="007D2556"/>
    <w:rsid w:val="007D5CA9"/>
    <w:rsid w:val="007E164F"/>
    <w:rsid w:val="007E2455"/>
    <w:rsid w:val="007E2637"/>
    <w:rsid w:val="007E596A"/>
    <w:rsid w:val="007F05D9"/>
    <w:rsid w:val="007F43C8"/>
    <w:rsid w:val="0080033F"/>
    <w:rsid w:val="0080097F"/>
    <w:rsid w:val="0080195E"/>
    <w:rsid w:val="00802250"/>
    <w:rsid w:val="00804F52"/>
    <w:rsid w:val="008108AD"/>
    <w:rsid w:val="0081482B"/>
    <w:rsid w:val="008156B3"/>
    <w:rsid w:val="00817D93"/>
    <w:rsid w:val="008207B0"/>
    <w:rsid w:val="00823E6D"/>
    <w:rsid w:val="008272AC"/>
    <w:rsid w:val="00827705"/>
    <w:rsid w:val="00830F5D"/>
    <w:rsid w:val="00831885"/>
    <w:rsid w:val="008329F0"/>
    <w:rsid w:val="00833F1D"/>
    <w:rsid w:val="00840D28"/>
    <w:rsid w:val="0084137A"/>
    <w:rsid w:val="00841631"/>
    <w:rsid w:val="00842805"/>
    <w:rsid w:val="0084393A"/>
    <w:rsid w:val="00845252"/>
    <w:rsid w:val="00846E15"/>
    <w:rsid w:val="00850190"/>
    <w:rsid w:val="00855AA8"/>
    <w:rsid w:val="00856F56"/>
    <w:rsid w:val="00857B10"/>
    <w:rsid w:val="00862FE9"/>
    <w:rsid w:val="00864568"/>
    <w:rsid w:val="00865A68"/>
    <w:rsid w:val="00865D99"/>
    <w:rsid w:val="0087023A"/>
    <w:rsid w:val="00871A19"/>
    <w:rsid w:val="00873D9E"/>
    <w:rsid w:val="00881E66"/>
    <w:rsid w:val="00886B66"/>
    <w:rsid w:val="008877A6"/>
    <w:rsid w:val="008922D5"/>
    <w:rsid w:val="0089316D"/>
    <w:rsid w:val="00893B41"/>
    <w:rsid w:val="008940F0"/>
    <w:rsid w:val="008950C5"/>
    <w:rsid w:val="00895B45"/>
    <w:rsid w:val="00896A95"/>
    <w:rsid w:val="00897222"/>
    <w:rsid w:val="00897770"/>
    <w:rsid w:val="008A015B"/>
    <w:rsid w:val="008A0CAB"/>
    <w:rsid w:val="008A3B15"/>
    <w:rsid w:val="008A7DCE"/>
    <w:rsid w:val="008B2E5E"/>
    <w:rsid w:val="008B362A"/>
    <w:rsid w:val="008B4249"/>
    <w:rsid w:val="008C3999"/>
    <w:rsid w:val="008D0456"/>
    <w:rsid w:val="008D12FC"/>
    <w:rsid w:val="008D1BD5"/>
    <w:rsid w:val="008D4896"/>
    <w:rsid w:val="008D5B3E"/>
    <w:rsid w:val="008D6475"/>
    <w:rsid w:val="008E3D3F"/>
    <w:rsid w:val="008F143F"/>
    <w:rsid w:val="008F1A48"/>
    <w:rsid w:val="008F30CF"/>
    <w:rsid w:val="0090122A"/>
    <w:rsid w:val="009012ED"/>
    <w:rsid w:val="00901F9A"/>
    <w:rsid w:val="0090253A"/>
    <w:rsid w:val="00903EC7"/>
    <w:rsid w:val="00911601"/>
    <w:rsid w:val="00920979"/>
    <w:rsid w:val="00920F39"/>
    <w:rsid w:val="00925C78"/>
    <w:rsid w:val="00926A7C"/>
    <w:rsid w:val="009316A4"/>
    <w:rsid w:val="00935525"/>
    <w:rsid w:val="009355F0"/>
    <w:rsid w:val="00943CFA"/>
    <w:rsid w:val="00943FCC"/>
    <w:rsid w:val="00947B35"/>
    <w:rsid w:val="00947DAC"/>
    <w:rsid w:val="00947E0D"/>
    <w:rsid w:val="00954103"/>
    <w:rsid w:val="0095470D"/>
    <w:rsid w:val="009564E1"/>
    <w:rsid w:val="00957BE1"/>
    <w:rsid w:val="00965BB1"/>
    <w:rsid w:val="00967D83"/>
    <w:rsid w:val="00970063"/>
    <w:rsid w:val="00970CA8"/>
    <w:rsid w:val="009741FE"/>
    <w:rsid w:val="0097703C"/>
    <w:rsid w:val="009848FE"/>
    <w:rsid w:val="00991F37"/>
    <w:rsid w:val="00992CBD"/>
    <w:rsid w:val="009932F1"/>
    <w:rsid w:val="00995691"/>
    <w:rsid w:val="00996A2D"/>
    <w:rsid w:val="009A02DC"/>
    <w:rsid w:val="009A3F5F"/>
    <w:rsid w:val="009A4270"/>
    <w:rsid w:val="009A4F69"/>
    <w:rsid w:val="009B5487"/>
    <w:rsid w:val="009C015F"/>
    <w:rsid w:val="009C08A5"/>
    <w:rsid w:val="009C1C93"/>
    <w:rsid w:val="009C20F1"/>
    <w:rsid w:val="009C2B23"/>
    <w:rsid w:val="009C5587"/>
    <w:rsid w:val="009C72B0"/>
    <w:rsid w:val="009D076B"/>
    <w:rsid w:val="009D18A2"/>
    <w:rsid w:val="009D6682"/>
    <w:rsid w:val="009F58EF"/>
    <w:rsid w:val="009F6538"/>
    <w:rsid w:val="009F71F6"/>
    <w:rsid w:val="00A01FF7"/>
    <w:rsid w:val="00A025F9"/>
    <w:rsid w:val="00A060DD"/>
    <w:rsid w:val="00A12972"/>
    <w:rsid w:val="00A1354C"/>
    <w:rsid w:val="00A13766"/>
    <w:rsid w:val="00A14C9E"/>
    <w:rsid w:val="00A14DBD"/>
    <w:rsid w:val="00A20680"/>
    <w:rsid w:val="00A20A5A"/>
    <w:rsid w:val="00A21690"/>
    <w:rsid w:val="00A22FB7"/>
    <w:rsid w:val="00A23F04"/>
    <w:rsid w:val="00A26DA4"/>
    <w:rsid w:val="00A2708B"/>
    <w:rsid w:val="00A3190D"/>
    <w:rsid w:val="00A33139"/>
    <w:rsid w:val="00A35A94"/>
    <w:rsid w:val="00A35F27"/>
    <w:rsid w:val="00A365B2"/>
    <w:rsid w:val="00A369F6"/>
    <w:rsid w:val="00A41DBA"/>
    <w:rsid w:val="00A44DD9"/>
    <w:rsid w:val="00A54051"/>
    <w:rsid w:val="00A55E37"/>
    <w:rsid w:val="00A60516"/>
    <w:rsid w:val="00A6655A"/>
    <w:rsid w:val="00A675B4"/>
    <w:rsid w:val="00A715CB"/>
    <w:rsid w:val="00A716AC"/>
    <w:rsid w:val="00A74A00"/>
    <w:rsid w:val="00A772CC"/>
    <w:rsid w:val="00A81B71"/>
    <w:rsid w:val="00A85426"/>
    <w:rsid w:val="00A8566E"/>
    <w:rsid w:val="00A87587"/>
    <w:rsid w:val="00A93725"/>
    <w:rsid w:val="00A96203"/>
    <w:rsid w:val="00AA050F"/>
    <w:rsid w:val="00AA11A5"/>
    <w:rsid w:val="00AA5081"/>
    <w:rsid w:val="00AA6406"/>
    <w:rsid w:val="00AA7201"/>
    <w:rsid w:val="00AA7A58"/>
    <w:rsid w:val="00AC02F4"/>
    <w:rsid w:val="00AC227A"/>
    <w:rsid w:val="00AC22C5"/>
    <w:rsid w:val="00AC238F"/>
    <w:rsid w:val="00AC3007"/>
    <w:rsid w:val="00AC47C9"/>
    <w:rsid w:val="00AC68A0"/>
    <w:rsid w:val="00AC6D0C"/>
    <w:rsid w:val="00AD18AD"/>
    <w:rsid w:val="00AD3DB8"/>
    <w:rsid w:val="00AD4C88"/>
    <w:rsid w:val="00AD5864"/>
    <w:rsid w:val="00AD70D0"/>
    <w:rsid w:val="00AE1323"/>
    <w:rsid w:val="00AE1FF5"/>
    <w:rsid w:val="00AE4054"/>
    <w:rsid w:val="00AE5C37"/>
    <w:rsid w:val="00AF2769"/>
    <w:rsid w:val="00AF50DB"/>
    <w:rsid w:val="00AF54B3"/>
    <w:rsid w:val="00AF56F3"/>
    <w:rsid w:val="00AF66E2"/>
    <w:rsid w:val="00AF712C"/>
    <w:rsid w:val="00AF7286"/>
    <w:rsid w:val="00B01FDB"/>
    <w:rsid w:val="00B06855"/>
    <w:rsid w:val="00B1129B"/>
    <w:rsid w:val="00B20E2C"/>
    <w:rsid w:val="00B23364"/>
    <w:rsid w:val="00B23380"/>
    <w:rsid w:val="00B23CAC"/>
    <w:rsid w:val="00B27BBB"/>
    <w:rsid w:val="00B35726"/>
    <w:rsid w:val="00B37FDD"/>
    <w:rsid w:val="00B4011A"/>
    <w:rsid w:val="00B41B60"/>
    <w:rsid w:val="00B42215"/>
    <w:rsid w:val="00B4270F"/>
    <w:rsid w:val="00B42E67"/>
    <w:rsid w:val="00B45895"/>
    <w:rsid w:val="00B47446"/>
    <w:rsid w:val="00B54586"/>
    <w:rsid w:val="00B55248"/>
    <w:rsid w:val="00B57A44"/>
    <w:rsid w:val="00B61389"/>
    <w:rsid w:val="00B62C60"/>
    <w:rsid w:val="00B6406C"/>
    <w:rsid w:val="00B66CC9"/>
    <w:rsid w:val="00B8074C"/>
    <w:rsid w:val="00B81AE2"/>
    <w:rsid w:val="00B8484F"/>
    <w:rsid w:val="00B86F97"/>
    <w:rsid w:val="00B956B0"/>
    <w:rsid w:val="00B9587C"/>
    <w:rsid w:val="00B96CA9"/>
    <w:rsid w:val="00BA02F3"/>
    <w:rsid w:val="00BA1BDD"/>
    <w:rsid w:val="00BA2F75"/>
    <w:rsid w:val="00BA4AE5"/>
    <w:rsid w:val="00BB1E3D"/>
    <w:rsid w:val="00BB3BD8"/>
    <w:rsid w:val="00BB3C18"/>
    <w:rsid w:val="00BB3F74"/>
    <w:rsid w:val="00BB4057"/>
    <w:rsid w:val="00BC2839"/>
    <w:rsid w:val="00BC37FF"/>
    <w:rsid w:val="00BE4640"/>
    <w:rsid w:val="00BE593A"/>
    <w:rsid w:val="00BE6553"/>
    <w:rsid w:val="00BF5239"/>
    <w:rsid w:val="00BF57A6"/>
    <w:rsid w:val="00BF6659"/>
    <w:rsid w:val="00BF7B90"/>
    <w:rsid w:val="00C00206"/>
    <w:rsid w:val="00C02A28"/>
    <w:rsid w:val="00C0607F"/>
    <w:rsid w:val="00C13DC2"/>
    <w:rsid w:val="00C14647"/>
    <w:rsid w:val="00C154ED"/>
    <w:rsid w:val="00C24335"/>
    <w:rsid w:val="00C25196"/>
    <w:rsid w:val="00C26C65"/>
    <w:rsid w:val="00C271D7"/>
    <w:rsid w:val="00C32653"/>
    <w:rsid w:val="00C35FD0"/>
    <w:rsid w:val="00C43445"/>
    <w:rsid w:val="00C4580D"/>
    <w:rsid w:val="00C46419"/>
    <w:rsid w:val="00C46BDA"/>
    <w:rsid w:val="00C46C46"/>
    <w:rsid w:val="00C5067D"/>
    <w:rsid w:val="00C540BB"/>
    <w:rsid w:val="00C56474"/>
    <w:rsid w:val="00C56B4A"/>
    <w:rsid w:val="00C632CD"/>
    <w:rsid w:val="00C64FB1"/>
    <w:rsid w:val="00C6723F"/>
    <w:rsid w:val="00C70F36"/>
    <w:rsid w:val="00C72B16"/>
    <w:rsid w:val="00C74097"/>
    <w:rsid w:val="00C81925"/>
    <w:rsid w:val="00C871D8"/>
    <w:rsid w:val="00C901AF"/>
    <w:rsid w:val="00C91243"/>
    <w:rsid w:val="00C9179E"/>
    <w:rsid w:val="00C92E13"/>
    <w:rsid w:val="00C94DC0"/>
    <w:rsid w:val="00C959B2"/>
    <w:rsid w:val="00C960FE"/>
    <w:rsid w:val="00C97CE6"/>
    <w:rsid w:val="00CA1AD3"/>
    <w:rsid w:val="00CA425B"/>
    <w:rsid w:val="00CA428E"/>
    <w:rsid w:val="00CA7A52"/>
    <w:rsid w:val="00CA7EB2"/>
    <w:rsid w:val="00CB23EB"/>
    <w:rsid w:val="00CB2EFD"/>
    <w:rsid w:val="00CB3383"/>
    <w:rsid w:val="00CB3A20"/>
    <w:rsid w:val="00CB56F2"/>
    <w:rsid w:val="00CB758B"/>
    <w:rsid w:val="00CC1C21"/>
    <w:rsid w:val="00CC3786"/>
    <w:rsid w:val="00CC4130"/>
    <w:rsid w:val="00CC46EA"/>
    <w:rsid w:val="00CC5E81"/>
    <w:rsid w:val="00CD0579"/>
    <w:rsid w:val="00CD13F3"/>
    <w:rsid w:val="00CD38C6"/>
    <w:rsid w:val="00CE1410"/>
    <w:rsid w:val="00CE7AE3"/>
    <w:rsid w:val="00CE7CE3"/>
    <w:rsid w:val="00CF29F8"/>
    <w:rsid w:val="00D01A85"/>
    <w:rsid w:val="00D02E80"/>
    <w:rsid w:val="00D06120"/>
    <w:rsid w:val="00D066F2"/>
    <w:rsid w:val="00D11E7E"/>
    <w:rsid w:val="00D14987"/>
    <w:rsid w:val="00D16F21"/>
    <w:rsid w:val="00D20064"/>
    <w:rsid w:val="00D218EC"/>
    <w:rsid w:val="00D22221"/>
    <w:rsid w:val="00D230E7"/>
    <w:rsid w:val="00D2488B"/>
    <w:rsid w:val="00D25DBC"/>
    <w:rsid w:val="00D262A8"/>
    <w:rsid w:val="00D33E50"/>
    <w:rsid w:val="00D341B9"/>
    <w:rsid w:val="00D34D20"/>
    <w:rsid w:val="00D35644"/>
    <w:rsid w:val="00D37E91"/>
    <w:rsid w:val="00D426A3"/>
    <w:rsid w:val="00D43B17"/>
    <w:rsid w:val="00D52086"/>
    <w:rsid w:val="00D524D2"/>
    <w:rsid w:val="00D54ED4"/>
    <w:rsid w:val="00D55AB8"/>
    <w:rsid w:val="00D56EEF"/>
    <w:rsid w:val="00D57B73"/>
    <w:rsid w:val="00D57CBC"/>
    <w:rsid w:val="00D603C3"/>
    <w:rsid w:val="00D611C6"/>
    <w:rsid w:val="00D61D92"/>
    <w:rsid w:val="00D62767"/>
    <w:rsid w:val="00D75C49"/>
    <w:rsid w:val="00D77BAB"/>
    <w:rsid w:val="00D849CE"/>
    <w:rsid w:val="00D84E1B"/>
    <w:rsid w:val="00D85A9C"/>
    <w:rsid w:val="00D864E9"/>
    <w:rsid w:val="00D86709"/>
    <w:rsid w:val="00D86D86"/>
    <w:rsid w:val="00D91308"/>
    <w:rsid w:val="00D93A0E"/>
    <w:rsid w:val="00D93B04"/>
    <w:rsid w:val="00D96FC3"/>
    <w:rsid w:val="00DA006C"/>
    <w:rsid w:val="00DA0529"/>
    <w:rsid w:val="00DA329B"/>
    <w:rsid w:val="00DA3E91"/>
    <w:rsid w:val="00DA3F95"/>
    <w:rsid w:val="00DA780F"/>
    <w:rsid w:val="00DA7865"/>
    <w:rsid w:val="00DB02E0"/>
    <w:rsid w:val="00DB06AB"/>
    <w:rsid w:val="00DB1E4A"/>
    <w:rsid w:val="00DB2812"/>
    <w:rsid w:val="00DB43EB"/>
    <w:rsid w:val="00DB5F1C"/>
    <w:rsid w:val="00DC0654"/>
    <w:rsid w:val="00DC1C3D"/>
    <w:rsid w:val="00DC4A68"/>
    <w:rsid w:val="00DC4B71"/>
    <w:rsid w:val="00DC6B0A"/>
    <w:rsid w:val="00DD0E7C"/>
    <w:rsid w:val="00DD2556"/>
    <w:rsid w:val="00DD2661"/>
    <w:rsid w:val="00DD3C62"/>
    <w:rsid w:val="00DD6A94"/>
    <w:rsid w:val="00DD7838"/>
    <w:rsid w:val="00DD7990"/>
    <w:rsid w:val="00DE0F54"/>
    <w:rsid w:val="00DE15C3"/>
    <w:rsid w:val="00DE255B"/>
    <w:rsid w:val="00DE2BA2"/>
    <w:rsid w:val="00DE3335"/>
    <w:rsid w:val="00DE35EE"/>
    <w:rsid w:val="00DE4A17"/>
    <w:rsid w:val="00DE5A89"/>
    <w:rsid w:val="00DE5BD4"/>
    <w:rsid w:val="00DF4872"/>
    <w:rsid w:val="00DF58D2"/>
    <w:rsid w:val="00DF73C4"/>
    <w:rsid w:val="00E00D7C"/>
    <w:rsid w:val="00E0217E"/>
    <w:rsid w:val="00E0220A"/>
    <w:rsid w:val="00E02C6F"/>
    <w:rsid w:val="00E04BAF"/>
    <w:rsid w:val="00E05E24"/>
    <w:rsid w:val="00E06FC5"/>
    <w:rsid w:val="00E110A4"/>
    <w:rsid w:val="00E12995"/>
    <w:rsid w:val="00E13E29"/>
    <w:rsid w:val="00E14463"/>
    <w:rsid w:val="00E14513"/>
    <w:rsid w:val="00E21ABF"/>
    <w:rsid w:val="00E228A1"/>
    <w:rsid w:val="00E233BD"/>
    <w:rsid w:val="00E23A76"/>
    <w:rsid w:val="00E25254"/>
    <w:rsid w:val="00E255B7"/>
    <w:rsid w:val="00E25984"/>
    <w:rsid w:val="00E263A9"/>
    <w:rsid w:val="00E27EC7"/>
    <w:rsid w:val="00E341F4"/>
    <w:rsid w:val="00E4131F"/>
    <w:rsid w:val="00E41FB0"/>
    <w:rsid w:val="00E42FB7"/>
    <w:rsid w:val="00E44B85"/>
    <w:rsid w:val="00E47C74"/>
    <w:rsid w:val="00E47FAE"/>
    <w:rsid w:val="00E518E6"/>
    <w:rsid w:val="00E535DF"/>
    <w:rsid w:val="00E53D8D"/>
    <w:rsid w:val="00E559A2"/>
    <w:rsid w:val="00E571C8"/>
    <w:rsid w:val="00E60445"/>
    <w:rsid w:val="00E6150A"/>
    <w:rsid w:val="00E66D0E"/>
    <w:rsid w:val="00E677AB"/>
    <w:rsid w:val="00E7028E"/>
    <w:rsid w:val="00E71A21"/>
    <w:rsid w:val="00E73264"/>
    <w:rsid w:val="00E73E88"/>
    <w:rsid w:val="00E759FD"/>
    <w:rsid w:val="00E84C63"/>
    <w:rsid w:val="00E85D5C"/>
    <w:rsid w:val="00E86D8B"/>
    <w:rsid w:val="00E87C8D"/>
    <w:rsid w:val="00E92E6F"/>
    <w:rsid w:val="00E9470C"/>
    <w:rsid w:val="00E96AF7"/>
    <w:rsid w:val="00E96FBC"/>
    <w:rsid w:val="00EA169C"/>
    <w:rsid w:val="00EA2968"/>
    <w:rsid w:val="00EA2E04"/>
    <w:rsid w:val="00EA3D41"/>
    <w:rsid w:val="00EA6CB2"/>
    <w:rsid w:val="00EA736A"/>
    <w:rsid w:val="00EA77D5"/>
    <w:rsid w:val="00EB40D7"/>
    <w:rsid w:val="00EB70D3"/>
    <w:rsid w:val="00EC52FC"/>
    <w:rsid w:val="00ED01DE"/>
    <w:rsid w:val="00ED0C67"/>
    <w:rsid w:val="00ED0D16"/>
    <w:rsid w:val="00ED1B03"/>
    <w:rsid w:val="00ED6635"/>
    <w:rsid w:val="00EE3452"/>
    <w:rsid w:val="00EE44DF"/>
    <w:rsid w:val="00EF41AD"/>
    <w:rsid w:val="00EF6FA6"/>
    <w:rsid w:val="00F02907"/>
    <w:rsid w:val="00F02A22"/>
    <w:rsid w:val="00F03DF5"/>
    <w:rsid w:val="00F03EFB"/>
    <w:rsid w:val="00F0791F"/>
    <w:rsid w:val="00F10C36"/>
    <w:rsid w:val="00F121A1"/>
    <w:rsid w:val="00F129F7"/>
    <w:rsid w:val="00F13AF5"/>
    <w:rsid w:val="00F13C47"/>
    <w:rsid w:val="00F1510F"/>
    <w:rsid w:val="00F15CEA"/>
    <w:rsid w:val="00F2132B"/>
    <w:rsid w:val="00F21B99"/>
    <w:rsid w:val="00F27BA3"/>
    <w:rsid w:val="00F3077E"/>
    <w:rsid w:val="00F308B7"/>
    <w:rsid w:val="00F3357C"/>
    <w:rsid w:val="00F35D4A"/>
    <w:rsid w:val="00F364A2"/>
    <w:rsid w:val="00F37672"/>
    <w:rsid w:val="00F37D11"/>
    <w:rsid w:val="00F4037A"/>
    <w:rsid w:val="00F44C9B"/>
    <w:rsid w:val="00F46B55"/>
    <w:rsid w:val="00F50640"/>
    <w:rsid w:val="00F53AFD"/>
    <w:rsid w:val="00F54C56"/>
    <w:rsid w:val="00F55069"/>
    <w:rsid w:val="00F60BC5"/>
    <w:rsid w:val="00F62EF2"/>
    <w:rsid w:val="00F66531"/>
    <w:rsid w:val="00F71970"/>
    <w:rsid w:val="00F724F1"/>
    <w:rsid w:val="00F77472"/>
    <w:rsid w:val="00F8039E"/>
    <w:rsid w:val="00F81B98"/>
    <w:rsid w:val="00F84364"/>
    <w:rsid w:val="00F9052F"/>
    <w:rsid w:val="00F93ABA"/>
    <w:rsid w:val="00F94E7F"/>
    <w:rsid w:val="00F9530A"/>
    <w:rsid w:val="00F96A84"/>
    <w:rsid w:val="00FA3FE8"/>
    <w:rsid w:val="00FA4448"/>
    <w:rsid w:val="00FA6A2F"/>
    <w:rsid w:val="00FA7EF2"/>
    <w:rsid w:val="00FB36BB"/>
    <w:rsid w:val="00FB71FC"/>
    <w:rsid w:val="00FB7792"/>
    <w:rsid w:val="00FD00D8"/>
    <w:rsid w:val="00FD3BAE"/>
    <w:rsid w:val="00FD548D"/>
    <w:rsid w:val="00FD6647"/>
    <w:rsid w:val="00FD67C6"/>
    <w:rsid w:val="00FE3E97"/>
    <w:rsid w:val="00FE4251"/>
    <w:rsid w:val="00FE4C19"/>
    <w:rsid w:val="00FE7398"/>
    <w:rsid w:val="00FE77A9"/>
    <w:rsid w:val="00FE781A"/>
    <w:rsid w:val="00FF0BF2"/>
    <w:rsid w:val="00FF7C3C"/>
    <w:rsid w:val="01248A41"/>
    <w:rsid w:val="1054F323"/>
    <w:rsid w:val="148FB1E6"/>
    <w:rsid w:val="175E5751"/>
    <w:rsid w:val="1D5C1FEB"/>
    <w:rsid w:val="2C58AE89"/>
    <w:rsid w:val="30660B89"/>
    <w:rsid w:val="347AD031"/>
    <w:rsid w:val="3CCA43DF"/>
    <w:rsid w:val="3D03634C"/>
    <w:rsid w:val="40B4E738"/>
    <w:rsid w:val="423DAE7E"/>
    <w:rsid w:val="495AD6BF"/>
    <w:rsid w:val="5216E507"/>
    <w:rsid w:val="53A7416C"/>
    <w:rsid w:val="55DD1304"/>
    <w:rsid w:val="5EC82F99"/>
    <w:rsid w:val="5F33BF73"/>
    <w:rsid w:val="62B90FAD"/>
    <w:rsid w:val="66FC095E"/>
    <w:rsid w:val="67F18CBE"/>
    <w:rsid w:val="6DD52E69"/>
    <w:rsid w:val="6EDCB7ED"/>
    <w:rsid w:val="7236E449"/>
    <w:rsid w:val="7556A359"/>
    <w:rsid w:val="79EE41B5"/>
    <w:rsid w:val="7BC20D9D"/>
    <w:rsid w:val="7CEE3623"/>
    <w:rsid w:val="7F6E349C"/>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C11C0"/>
  <w15:chartTrackingRefBased/>
  <w15:docId w15:val="{70E9877A-C1B8-408C-9BD2-3969D8BA1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87C"/>
    <w:pPr>
      <w:jc w:val="both"/>
    </w:pPr>
    <w:rPr>
      <w:rFonts w:ascii="Helvetica" w:hAnsi="Helvetica"/>
      <w:sz w:val="22"/>
      <w:lang w:val="en-US" w:eastAsia="en-US"/>
    </w:rPr>
  </w:style>
  <w:style w:type="paragraph" w:styleId="Heading2">
    <w:name w:val="heading 2"/>
    <w:basedOn w:val="Normal"/>
    <w:next w:val="Normal"/>
    <w:qFormat/>
    <w:rsid w:val="009564E1"/>
    <w:pPr>
      <w:keepNext/>
      <w:spacing w:before="240" w:after="60"/>
      <w:outlineLvl w:val="1"/>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sid w:val="009564E1"/>
    <w:rPr>
      <w:rFonts w:ascii="Times" w:hAnsi="Times"/>
      <w:sz w:val="18"/>
      <w:vertAlign w:val="superscript"/>
    </w:rPr>
  </w:style>
  <w:style w:type="character" w:styleId="FootnoteReference">
    <w:name w:val="footnote reference"/>
    <w:semiHidden/>
    <w:rsid w:val="009564E1"/>
    <w:rPr>
      <w:rFonts w:ascii="Times" w:hAnsi="Times"/>
      <w:sz w:val="18"/>
      <w:vertAlign w:val="superscript"/>
    </w:rPr>
  </w:style>
  <w:style w:type="paragraph" w:styleId="FootnoteText">
    <w:name w:val="footnote text"/>
    <w:basedOn w:val="TFReferencesSection"/>
    <w:next w:val="TFReferencesSection"/>
    <w:semiHidden/>
    <w:rsid w:val="009564E1"/>
  </w:style>
  <w:style w:type="paragraph" w:customStyle="1" w:styleId="TFReferencesSection">
    <w:name w:val="TF_References_Section"/>
    <w:basedOn w:val="Normal"/>
    <w:rsid w:val="009564E1"/>
    <w:pPr>
      <w:spacing w:line="150" w:lineRule="exact"/>
      <w:ind w:left="346" w:hanging="346"/>
    </w:pPr>
    <w:rPr>
      <w:rFonts w:ascii="Times" w:hAnsi="Times"/>
      <w:sz w:val="15"/>
    </w:rPr>
  </w:style>
  <w:style w:type="paragraph" w:customStyle="1" w:styleId="TAMainText">
    <w:name w:val="TA_Main_Text"/>
    <w:basedOn w:val="Normal"/>
    <w:link w:val="TAMainTextChar"/>
    <w:rsid w:val="009564E1"/>
    <w:pPr>
      <w:spacing w:line="220" w:lineRule="exact"/>
      <w:ind w:firstLine="187"/>
    </w:pPr>
    <w:rPr>
      <w:rFonts w:ascii="Times" w:hAnsi="Times"/>
      <w:sz w:val="18"/>
    </w:rPr>
  </w:style>
  <w:style w:type="paragraph" w:customStyle="1" w:styleId="BATitle">
    <w:name w:val="BA_Title"/>
    <w:next w:val="BBAuthorName"/>
    <w:rsid w:val="009564E1"/>
    <w:pPr>
      <w:spacing w:before="1380" w:line="250" w:lineRule="exact"/>
      <w:ind w:left="360" w:right="360"/>
      <w:jc w:val="center"/>
    </w:pPr>
    <w:rPr>
      <w:rFonts w:ascii="Helvetica" w:hAnsi="Helvetica"/>
      <w:b/>
      <w:noProof/>
      <w:sz w:val="23"/>
      <w:lang w:val="en-US" w:eastAsia="en-US"/>
    </w:rPr>
  </w:style>
  <w:style w:type="paragraph" w:customStyle="1" w:styleId="BBAuthorName">
    <w:name w:val="BB_Author_Name"/>
    <w:basedOn w:val="Normal"/>
    <w:next w:val="BCAuthorAddress"/>
    <w:rsid w:val="009564E1"/>
    <w:pPr>
      <w:spacing w:before="80" w:line="210" w:lineRule="exact"/>
      <w:ind w:left="706" w:right="706"/>
      <w:jc w:val="center"/>
    </w:pPr>
    <w:rPr>
      <w:sz w:val="19"/>
    </w:rPr>
  </w:style>
  <w:style w:type="paragraph" w:customStyle="1" w:styleId="BCAuthorAddress">
    <w:name w:val="BC_Author_Address"/>
    <w:basedOn w:val="Normal"/>
    <w:next w:val="Normal"/>
    <w:rsid w:val="009564E1"/>
    <w:pPr>
      <w:spacing w:before="80" w:line="200" w:lineRule="exact"/>
      <w:ind w:left="706" w:right="706"/>
      <w:jc w:val="center"/>
    </w:pPr>
    <w:rPr>
      <w:rFonts w:ascii="Times" w:hAnsi="Times"/>
      <w:i/>
      <w:sz w:val="18"/>
    </w:rPr>
  </w:style>
  <w:style w:type="paragraph" w:customStyle="1" w:styleId="AIReceivedDate">
    <w:name w:val="AI_Received_Date"/>
    <w:basedOn w:val="Normal"/>
    <w:next w:val="Normal"/>
    <w:rsid w:val="009564E1"/>
    <w:pPr>
      <w:spacing w:after="180" w:line="280" w:lineRule="exact"/>
      <w:jc w:val="center"/>
    </w:pPr>
    <w:rPr>
      <w:sz w:val="15"/>
    </w:rPr>
  </w:style>
  <w:style w:type="paragraph" w:customStyle="1" w:styleId="TDAcknowledgments">
    <w:name w:val="TD_Acknowledgments"/>
    <w:basedOn w:val="Normal"/>
    <w:next w:val="TESupportingInformation"/>
    <w:rsid w:val="009564E1"/>
    <w:pPr>
      <w:spacing w:before="120" w:line="220" w:lineRule="exact"/>
      <w:ind w:firstLine="187"/>
    </w:pPr>
    <w:rPr>
      <w:rFonts w:ascii="Times" w:hAnsi="Times"/>
      <w:sz w:val="18"/>
    </w:rPr>
  </w:style>
  <w:style w:type="paragraph" w:customStyle="1" w:styleId="TESupportingInformation">
    <w:name w:val="TE_Supporting_Information"/>
    <w:basedOn w:val="Normal"/>
    <w:rsid w:val="009564E1"/>
    <w:pPr>
      <w:spacing w:before="120" w:after="400" w:line="210" w:lineRule="exact"/>
      <w:ind w:firstLine="187"/>
    </w:pPr>
    <w:rPr>
      <w:rFonts w:ascii="Times" w:hAnsi="Times"/>
      <w:sz w:val="17"/>
    </w:rPr>
  </w:style>
  <w:style w:type="paragraph" w:customStyle="1" w:styleId="VCSchemeTitle">
    <w:name w:val="VC_Scheme_Title"/>
    <w:basedOn w:val="Normal"/>
    <w:next w:val="Normal"/>
    <w:rsid w:val="009564E1"/>
    <w:pPr>
      <w:spacing w:before="135" w:after="415" w:line="180" w:lineRule="exact"/>
    </w:pPr>
    <w:rPr>
      <w:sz w:val="16"/>
    </w:rPr>
  </w:style>
  <w:style w:type="paragraph" w:customStyle="1" w:styleId="VDTableTitle">
    <w:name w:val="VD_Table_Title"/>
    <w:basedOn w:val="Normal"/>
    <w:next w:val="Normal"/>
    <w:rsid w:val="009564E1"/>
    <w:pPr>
      <w:spacing w:before="120" w:after="240" w:line="180" w:lineRule="exact"/>
    </w:pPr>
    <w:rPr>
      <w:sz w:val="16"/>
    </w:rPr>
  </w:style>
  <w:style w:type="paragraph" w:customStyle="1" w:styleId="VAFigureCaption">
    <w:name w:val="VA_Figure_Caption"/>
    <w:basedOn w:val="Normal"/>
    <w:next w:val="Normal"/>
    <w:rsid w:val="009564E1"/>
    <w:pPr>
      <w:spacing w:before="255" w:after="295" w:line="180" w:lineRule="exact"/>
    </w:pPr>
    <w:rPr>
      <w:rFonts w:ascii="Times" w:hAnsi="Times"/>
      <w:sz w:val="16"/>
    </w:rPr>
  </w:style>
  <w:style w:type="paragraph" w:customStyle="1" w:styleId="VBChartTitle">
    <w:name w:val="VB_Chart_Title"/>
    <w:basedOn w:val="Normal"/>
    <w:next w:val="Normal"/>
    <w:rsid w:val="009564E1"/>
    <w:pPr>
      <w:spacing w:before="135" w:after="415" w:line="180" w:lineRule="exact"/>
    </w:pPr>
    <w:rPr>
      <w:sz w:val="16"/>
    </w:rPr>
  </w:style>
  <w:style w:type="paragraph" w:customStyle="1" w:styleId="FETableFootnote">
    <w:name w:val="FE_Table_Footnote"/>
    <w:basedOn w:val="Normal"/>
    <w:rsid w:val="009564E1"/>
    <w:pPr>
      <w:spacing w:after="120" w:line="180" w:lineRule="exact"/>
      <w:ind w:firstLine="187"/>
    </w:pPr>
    <w:rPr>
      <w:rFonts w:ascii="Times" w:hAnsi="Times"/>
      <w:sz w:val="16"/>
    </w:rPr>
  </w:style>
  <w:style w:type="paragraph" w:customStyle="1" w:styleId="FCChartFootnote">
    <w:name w:val="FC_Chart_Footnote"/>
    <w:basedOn w:val="FETableFootnote"/>
    <w:rsid w:val="009564E1"/>
  </w:style>
  <w:style w:type="paragraph" w:customStyle="1" w:styleId="FDSchemeFootnote">
    <w:name w:val="FD_Scheme_Footnote"/>
    <w:basedOn w:val="FCChartFootnote"/>
    <w:rsid w:val="009564E1"/>
  </w:style>
  <w:style w:type="paragraph" w:customStyle="1" w:styleId="TCTableBody">
    <w:name w:val="TC_Table_Body"/>
    <w:basedOn w:val="VDTableTitle"/>
    <w:rsid w:val="009564E1"/>
    <w:pPr>
      <w:spacing w:before="0" w:after="0"/>
    </w:pPr>
    <w:rPr>
      <w:rFonts w:ascii="Times" w:hAnsi="Times"/>
    </w:rPr>
  </w:style>
  <w:style w:type="character" w:styleId="PageNumber">
    <w:name w:val="page number"/>
    <w:basedOn w:val="DefaultParagraphFont"/>
    <w:rsid w:val="009564E1"/>
  </w:style>
  <w:style w:type="paragraph" w:customStyle="1" w:styleId="BDAbstract">
    <w:name w:val="BD_Abstract"/>
    <w:basedOn w:val="TAMainText"/>
    <w:rsid w:val="009564E1"/>
    <w:pPr>
      <w:pBdr>
        <w:top w:val="single" w:sz="4" w:space="3" w:color="auto"/>
        <w:bottom w:val="single" w:sz="4" w:space="3" w:color="auto"/>
      </w:pBdr>
      <w:spacing w:before="120" w:after="120"/>
      <w:ind w:firstLine="0"/>
    </w:pPr>
    <w:rPr>
      <w:rFonts w:ascii="Helvetica" w:hAnsi="Helvetica"/>
    </w:rPr>
  </w:style>
  <w:style w:type="character" w:customStyle="1" w:styleId="MTEquationSection">
    <w:name w:val="MTEquationSection"/>
    <w:rsid w:val="009564E1"/>
    <w:rPr>
      <w:b/>
      <w:vanish/>
      <w:color w:val="FF0000"/>
      <w:sz w:val="36"/>
    </w:rPr>
  </w:style>
  <w:style w:type="character" w:styleId="Hyperlink">
    <w:name w:val="Hyperlink"/>
    <w:uiPriority w:val="99"/>
    <w:rsid w:val="009564E1"/>
    <w:rPr>
      <w:color w:val="0000FF"/>
      <w:u w:val="single"/>
    </w:rPr>
  </w:style>
  <w:style w:type="paragraph" w:customStyle="1" w:styleId="BIEmailAddress">
    <w:name w:val="BI_Email_Address"/>
    <w:next w:val="Normal"/>
    <w:rsid w:val="009564E1"/>
    <w:pPr>
      <w:spacing w:after="180" w:line="280" w:lineRule="exact"/>
      <w:jc w:val="center"/>
    </w:pPr>
    <w:rPr>
      <w:rFonts w:ascii="Helvetica" w:hAnsi="Helvetica"/>
      <w:sz w:val="15"/>
      <w:lang w:val="en-US" w:eastAsia="en-US"/>
    </w:rPr>
  </w:style>
  <w:style w:type="paragraph" w:styleId="EndnoteText">
    <w:name w:val="endnote text"/>
    <w:basedOn w:val="Normal"/>
    <w:semiHidden/>
    <w:rsid w:val="009564E1"/>
    <w:pPr>
      <w:jc w:val="left"/>
    </w:pPr>
    <w:rPr>
      <w:rFonts w:ascii="Times" w:hAnsi="Times"/>
      <w:sz w:val="20"/>
      <w:lang w:val="en-GB"/>
    </w:rPr>
  </w:style>
  <w:style w:type="paragraph" w:customStyle="1" w:styleId="referenceitem">
    <w:name w:val="reference item"/>
    <w:basedOn w:val="Normal"/>
    <w:rsid w:val="009564E1"/>
    <w:pPr>
      <w:spacing w:line="360" w:lineRule="auto"/>
      <w:ind w:left="284" w:hanging="284"/>
      <w:jc w:val="left"/>
    </w:pPr>
    <w:rPr>
      <w:rFonts w:ascii="Times New Roman" w:hAnsi="Times New Roman"/>
      <w:sz w:val="20"/>
    </w:rPr>
  </w:style>
  <w:style w:type="paragraph" w:styleId="Header">
    <w:name w:val="header"/>
    <w:basedOn w:val="Normal"/>
    <w:link w:val="HeaderChar"/>
    <w:uiPriority w:val="99"/>
    <w:unhideWhenUsed/>
    <w:rsid w:val="006A7079"/>
    <w:pPr>
      <w:tabs>
        <w:tab w:val="center" w:pos="4513"/>
        <w:tab w:val="right" w:pos="9026"/>
      </w:tabs>
    </w:pPr>
  </w:style>
  <w:style w:type="character" w:customStyle="1" w:styleId="HeaderChar">
    <w:name w:val="Header Char"/>
    <w:link w:val="Header"/>
    <w:uiPriority w:val="99"/>
    <w:rsid w:val="006A7079"/>
    <w:rPr>
      <w:rFonts w:ascii="Helvetica" w:hAnsi="Helvetica"/>
      <w:sz w:val="22"/>
      <w:lang w:val="en-US" w:eastAsia="en-US"/>
    </w:rPr>
  </w:style>
  <w:style w:type="paragraph" w:styleId="Footer">
    <w:name w:val="footer"/>
    <w:basedOn w:val="Normal"/>
    <w:link w:val="FooterChar"/>
    <w:uiPriority w:val="99"/>
    <w:unhideWhenUsed/>
    <w:rsid w:val="006A7079"/>
    <w:pPr>
      <w:tabs>
        <w:tab w:val="center" w:pos="4513"/>
        <w:tab w:val="right" w:pos="9026"/>
      </w:tabs>
    </w:pPr>
  </w:style>
  <w:style w:type="character" w:customStyle="1" w:styleId="FooterChar">
    <w:name w:val="Footer Char"/>
    <w:link w:val="Footer"/>
    <w:uiPriority w:val="99"/>
    <w:rsid w:val="006A7079"/>
    <w:rPr>
      <w:rFonts w:ascii="Helvetica" w:hAnsi="Helvetica"/>
      <w:sz w:val="22"/>
      <w:lang w:val="en-US" w:eastAsia="en-US"/>
    </w:rPr>
  </w:style>
  <w:style w:type="paragraph" w:styleId="BalloonText">
    <w:name w:val="Balloon Text"/>
    <w:basedOn w:val="Normal"/>
    <w:link w:val="BalloonTextChar"/>
    <w:uiPriority w:val="99"/>
    <w:semiHidden/>
    <w:unhideWhenUsed/>
    <w:rsid w:val="00E05E24"/>
    <w:rPr>
      <w:rFonts w:ascii="Tahoma" w:hAnsi="Tahoma"/>
      <w:sz w:val="16"/>
      <w:szCs w:val="16"/>
    </w:rPr>
  </w:style>
  <w:style w:type="character" w:customStyle="1" w:styleId="BalloonTextChar">
    <w:name w:val="Balloon Text Char"/>
    <w:link w:val="BalloonText"/>
    <w:uiPriority w:val="99"/>
    <w:semiHidden/>
    <w:rsid w:val="00E05E24"/>
    <w:rPr>
      <w:rFonts w:ascii="Tahoma" w:hAnsi="Tahoma" w:cs="Tahoma"/>
      <w:sz w:val="16"/>
      <w:szCs w:val="16"/>
      <w:lang w:val="en-US" w:eastAsia="en-US"/>
    </w:rPr>
  </w:style>
  <w:style w:type="table" w:styleId="TableGrid">
    <w:name w:val="Table Grid"/>
    <w:basedOn w:val="TableNormal"/>
    <w:uiPriority w:val="39"/>
    <w:rsid w:val="001D7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MainTextChar">
    <w:name w:val="TA_Main_Text Char"/>
    <w:link w:val="TAMainText"/>
    <w:rsid w:val="00AC238F"/>
    <w:rPr>
      <w:rFonts w:ascii="Times" w:hAnsi="Times"/>
      <w:sz w:val="18"/>
      <w:lang w:val="en-US" w:eastAsia="en-US"/>
    </w:rPr>
  </w:style>
  <w:style w:type="paragraph" w:styleId="ListParagraph">
    <w:name w:val="List Paragraph"/>
    <w:basedOn w:val="Normal"/>
    <w:uiPriority w:val="34"/>
    <w:qFormat/>
    <w:rsid w:val="006969BA"/>
    <w:pPr>
      <w:ind w:left="720"/>
      <w:contextualSpacing/>
    </w:pPr>
  </w:style>
  <w:style w:type="paragraph" w:customStyle="1" w:styleId="Default">
    <w:name w:val="Default"/>
    <w:rsid w:val="00B66CC9"/>
    <w:pPr>
      <w:autoSpaceDE w:val="0"/>
      <w:autoSpaceDN w:val="0"/>
      <w:adjustRightInd w:val="0"/>
    </w:pPr>
    <w:rPr>
      <w:rFonts w:ascii="Century" w:eastAsia="Calibri" w:hAnsi="Century" w:cs="Century"/>
      <w:color w:val="000000"/>
      <w:sz w:val="24"/>
      <w:szCs w:val="24"/>
      <w:lang w:val="en-US" w:eastAsia="en-US"/>
    </w:rPr>
  </w:style>
  <w:style w:type="character" w:styleId="PlaceholderText">
    <w:name w:val="Placeholder Text"/>
    <w:basedOn w:val="DefaultParagraphFont"/>
    <w:uiPriority w:val="99"/>
    <w:semiHidden/>
    <w:rsid w:val="00DC6B0A"/>
    <w:rPr>
      <w:color w:val="666666"/>
    </w:rPr>
  </w:style>
  <w:style w:type="paragraph" w:styleId="NormalWeb">
    <w:name w:val="Normal (Web)"/>
    <w:basedOn w:val="Normal"/>
    <w:uiPriority w:val="99"/>
    <w:unhideWhenUsed/>
    <w:rsid w:val="00512089"/>
    <w:pPr>
      <w:spacing w:before="100" w:beforeAutospacing="1" w:after="100" w:afterAutospacing="1"/>
      <w:jc w:val="left"/>
    </w:pPr>
    <w:rPr>
      <w:rFonts w:ascii="Times New Roman" w:hAnsi="Times New Roman"/>
      <w:sz w:val="24"/>
      <w:szCs w:val="24"/>
      <w:lang w:val="en-ID"/>
    </w:rPr>
  </w:style>
  <w:style w:type="character" w:customStyle="1" w:styleId="apple-converted-space">
    <w:name w:val="apple-converted-space"/>
    <w:basedOn w:val="DefaultParagraphFont"/>
    <w:rsid w:val="00016F3C"/>
  </w:style>
  <w:style w:type="character" w:styleId="CommentReference">
    <w:name w:val="annotation reference"/>
    <w:basedOn w:val="DefaultParagraphFont"/>
    <w:uiPriority w:val="99"/>
    <w:semiHidden/>
    <w:unhideWhenUsed/>
    <w:rsid w:val="00383986"/>
    <w:rPr>
      <w:sz w:val="16"/>
      <w:szCs w:val="16"/>
    </w:rPr>
  </w:style>
  <w:style w:type="paragraph" w:styleId="CommentText">
    <w:name w:val="annotation text"/>
    <w:basedOn w:val="Normal"/>
    <w:link w:val="CommentTextChar"/>
    <w:uiPriority w:val="99"/>
    <w:unhideWhenUsed/>
    <w:rsid w:val="00383986"/>
    <w:rPr>
      <w:sz w:val="20"/>
    </w:rPr>
  </w:style>
  <w:style w:type="character" w:customStyle="1" w:styleId="CommentTextChar">
    <w:name w:val="Comment Text Char"/>
    <w:basedOn w:val="DefaultParagraphFont"/>
    <w:link w:val="CommentText"/>
    <w:uiPriority w:val="99"/>
    <w:rsid w:val="00383986"/>
    <w:rPr>
      <w:rFonts w:ascii="Helvetica" w:hAnsi="Helvetica"/>
      <w:lang w:val="en-US" w:eastAsia="en-US"/>
    </w:rPr>
  </w:style>
  <w:style w:type="paragraph" w:styleId="CommentSubject">
    <w:name w:val="annotation subject"/>
    <w:basedOn w:val="CommentText"/>
    <w:next w:val="CommentText"/>
    <w:link w:val="CommentSubjectChar"/>
    <w:uiPriority w:val="99"/>
    <w:semiHidden/>
    <w:unhideWhenUsed/>
    <w:rsid w:val="00383986"/>
    <w:rPr>
      <w:b/>
      <w:bCs/>
    </w:rPr>
  </w:style>
  <w:style w:type="character" w:customStyle="1" w:styleId="CommentSubjectChar">
    <w:name w:val="Comment Subject Char"/>
    <w:basedOn w:val="CommentTextChar"/>
    <w:link w:val="CommentSubject"/>
    <w:uiPriority w:val="99"/>
    <w:semiHidden/>
    <w:rsid w:val="00383986"/>
    <w:rPr>
      <w:rFonts w:ascii="Helvetica" w:hAnsi="Helvetica"/>
      <w:b/>
      <w:bCs/>
      <w:lang w:val="en-US" w:eastAsia="en-US"/>
    </w:rPr>
  </w:style>
  <w:style w:type="character" w:customStyle="1" w:styleId="whitespace-normal">
    <w:name w:val="whitespace-normal"/>
    <w:basedOn w:val="DefaultParagraphFont"/>
    <w:rsid w:val="00B54586"/>
  </w:style>
  <w:style w:type="character" w:styleId="UnresolvedMention">
    <w:name w:val="Unresolved Mention"/>
    <w:basedOn w:val="DefaultParagraphFont"/>
    <w:uiPriority w:val="99"/>
    <w:semiHidden/>
    <w:unhideWhenUsed/>
    <w:rsid w:val="00B54586"/>
    <w:rPr>
      <w:color w:val="605E5C"/>
      <w:shd w:val="clear" w:color="auto" w:fill="E1DFDD"/>
    </w:rPr>
  </w:style>
  <w:style w:type="character" w:styleId="Emphasis">
    <w:name w:val="Emphasis"/>
    <w:basedOn w:val="DefaultParagraphFont"/>
    <w:uiPriority w:val="20"/>
    <w:qFormat/>
    <w:rsid w:val="003837B0"/>
    <w:rPr>
      <w:i/>
      <w:iCs/>
    </w:rPr>
  </w:style>
  <w:style w:type="paragraph" w:styleId="Caption">
    <w:name w:val="caption"/>
    <w:basedOn w:val="Normal"/>
    <w:next w:val="Normal"/>
    <w:uiPriority w:val="35"/>
    <w:unhideWhenUsed/>
    <w:qFormat/>
    <w:rsid w:val="00BB3BD8"/>
    <w:pPr>
      <w:spacing w:after="200"/>
    </w:pPr>
    <w:rPr>
      <w:i/>
      <w:iCs/>
      <w:color w:val="0E2841" w:themeColor="text2"/>
      <w:sz w:val="18"/>
      <w:szCs w:val="18"/>
    </w:rPr>
  </w:style>
  <w:style w:type="character" w:styleId="Strong">
    <w:name w:val="Strong"/>
    <w:basedOn w:val="DefaultParagraphFont"/>
    <w:uiPriority w:val="22"/>
    <w:qFormat/>
    <w:rsid w:val="003861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152">
      <w:bodyDiv w:val="1"/>
      <w:marLeft w:val="0"/>
      <w:marRight w:val="0"/>
      <w:marTop w:val="0"/>
      <w:marBottom w:val="0"/>
      <w:divBdr>
        <w:top w:val="none" w:sz="0" w:space="0" w:color="auto"/>
        <w:left w:val="none" w:sz="0" w:space="0" w:color="auto"/>
        <w:bottom w:val="none" w:sz="0" w:space="0" w:color="auto"/>
        <w:right w:val="none" w:sz="0" w:space="0" w:color="auto"/>
      </w:divBdr>
    </w:div>
    <w:div w:id="324283861">
      <w:bodyDiv w:val="1"/>
      <w:marLeft w:val="0"/>
      <w:marRight w:val="0"/>
      <w:marTop w:val="0"/>
      <w:marBottom w:val="0"/>
      <w:divBdr>
        <w:top w:val="none" w:sz="0" w:space="0" w:color="auto"/>
        <w:left w:val="none" w:sz="0" w:space="0" w:color="auto"/>
        <w:bottom w:val="none" w:sz="0" w:space="0" w:color="auto"/>
        <w:right w:val="none" w:sz="0" w:space="0" w:color="auto"/>
      </w:divBdr>
    </w:div>
    <w:div w:id="346251300">
      <w:bodyDiv w:val="1"/>
      <w:marLeft w:val="0"/>
      <w:marRight w:val="0"/>
      <w:marTop w:val="0"/>
      <w:marBottom w:val="0"/>
      <w:divBdr>
        <w:top w:val="none" w:sz="0" w:space="0" w:color="auto"/>
        <w:left w:val="none" w:sz="0" w:space="0" w:color="auto"/>
        <w:bottom w:val="none" w:sz="0" w:space="0" w:color="auto"/>
        <w:right w:val="none" w:sz="0" w:space="0" w:color="auto"/>
      </w:divBdr>
    </w:div>
    <w:div w:id="648483207">
      <w:bodyDiv w:val="1"/>
      <w:marLeft w:val="0"/>
      <w:marRight w:val="0"/>
      <w:marTop w:val="0"/>
      <w:marBottom w:val="0"/>
      <w:divBdr>
        <w:top w:val="none" w:sz="0" w:space="0" w:color="auto"/>
        <w:left w:val="none" w:sz="0" w:space="0" w:color="auto"/>
        <w:bottom w:val="none" w:sz="0" w:space="0" w:color="auto"/>
        <w:right w:val="none" w:sz="0" w:space="0" w:color="auto"/>
      </w:divBdr>
    </w:div>
    <w:div w:id="1129670944">
      <w:bodyDiv w:val="1"/>
      <w:marLeft w:val="0"/>
      <w:marRight w:val="0"/>
      <w:marTop w:val="0"/>
      <w:marBottom w:val="0"/>
      <w:divBdr>
        <w:top w:val="none" w:sz="0" w:space="0" w:color="auto"/>
        <w:left w:val="none" w:sz="0" w:space="0" w:color="auto"/>
        <w:bottom w:val="none" w:sz="0" w:space="0" w:color="auto"/>
        <w:right w:val="none" w:sz="0" w:space="0" w:color="auto"/>
      </w:divBdr>
    </w:div>
    <w:div w:id="1178806425">
      <w:bodyDiv w:val="1"/>
      <w:marLeft w:val="0"/>
      <w:marRight w:val="0"/>
      <w:marTop w:val="0"/>
      <w:marBottom w:val="0"/>
      <w:divBdr>
        <w:top w:val="none" w:sz="0" w:space="0" w:color="auto"/>
        <w:left w:val="none" w:sz="0" w:space="0" w:color="auto"/>
        <w:bottom w:val="none" w:sz="0" w:space="0" w:color="auto"/>
        <w:right w:val="none" w:sz="0" w:space="0" w:color="auto"/>
      </w:divBdr>
    </w:div>
    <w:div w:id="1265767993">
      <w:bodyDiv w:val="1"/>
      <w:marLeft w:val="0"/>
      <w:marRight w:val="0"/>
      <w:marTop w:val="0"/>
      <w:marBottom w:val="0"/>
      <w:divBdr>
        <w:top w:val="none" w:sz="0" w:space="0" w:color="auto"/>
        <w:left w:val="none" w:sz="0" w:space="0" w:color="auto"/>
        <w:bottom w:val="none" w:sz="0" w:space="0" w:color="auto"/>
        <w:right w:val="none" w:sz="0" w:space="0" w:color="auto"/>
      </w:divBdr>
    </w:div>
    <w:div w:id="1390029535">
      <w:bodyDiv w:val="1"/>
      <w:marLeft w:val="0"/>
      <w:marRight w:val="0"/>
      <w:marTop w:val="0"/>
      <w:marBottom w:val="0"/>
      <w:divBdr>
        <w:top w:val="none" w:sz="0" w:space="0" w:color="auto"/>
        <w:left w:val="none" w:sz="0" w:space="0" w:color="auto"/>
        <w:bottom w:val="none" w:sz="0" w:space="0" w:color="auto"/>
        <w:right w:val="none" w:sz="0" w:space="0" w:color="auto"/>
      </w:divBdr>
    </w:div>
    <w:div w:id="1508715040">
      <w:bodyDiv w:val="1"/>
      <w:marLeft w:val="0"/>
      <w:marRight w:val="0"/>
      <w:marTop w:val="0"/>
      <w:marBottom w:val="0"/>
      <w:divBdr>
        <w:top w:val="none" w:sz="0" w:space="0" w:color="auto"/>
        <w:left w:val="none" w:sz="0" w:space="0" w:color="auto"/>
        <w:bottom w:val="none" w:sz="0" w:space="0" w:color="auto"/>
        <w:right w:val="none" w:sz="0" w:space="0" w:color="auto"/>
      </w:divBdr>
    </w:div>
    <w:div w:id="2013022007">
      <w:bodyDiv w:val="1"/>
      <w:marLeft w:val="0"/>
      <w:marRight w:val="0"/>
      <w:marTop w:val="0"/>
      <w:marBottom w:val="0"/>
      <w:divBdr>
        <w:top w:val="none" w:sz="0" w:space="0" w:color="auto"/>
        <w:left w:val="none" w:sz="0" w:space="0" w:color="auto"/>
        <w:bottom w:val="none" w:sz="0" w:space="0" w:color="auto"/>
        <w:right w:val="none" w:sz="0" w:space="0" w:color="auto"/>
      </w:divBdr>
    </w:div>
    <w:div w:id="2032023044">
      <w:bodyDiv w:val="1"/>
      <w:marLeft w:val="0"/>
      <w:marRight w:val="0"/>
      <w:marTop w:val="0"/>
      <w:marBottom w:val="0"/>
      <w:divBdr>
        <w:top w:val="none" w:sz="0" w:space="0" w:color="auto"/>
        <w:left w:val="none" w:sz="0" w:space="0" w:color="auto"/>
        <w:bottom w:val="none" w:sz="0" w:space="0" w:color="auto"/>
        <w:right w:val="none" w:sz="0" w:space="0" w:color="auto"/>
      </w:divBdr>
    </w:div>
    <w:div w:id="213602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image" Target="media/image17.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yperlink" Target="mailto:elly.pusporani@fst.unair.ac.id"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JACSComMSW9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6C9B6E-ABB5-491B-86B9-3FF077CB5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C:\WINDOWS\Desktop\JACSComMSW97.dot</Template>
  <TotalTime>4</TotalTime>
  <Pages>14</Pages>
  <Words>14734</Words>
  <Characters>83984</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Template for for the Jurnal Teknologi</vt:lpstr>
    </vt:vector>
  </TitlesOfParts>
  <Company>Universiti Teknologi Malaysia</Company>
  <LinksUpToDate>false</LinksUpToDate>
  <CharactersWithSpaces>98521</CharactersWithSpaces>
  <SharedDoc>false</SharedDoc>
  <HLinks>
    <vt:vector size="30" baseType="variant">
      <vt:variant>
        <vt:i4>2490464</vt:i4>
      </vt:variant>
      <vt:variant>
        <vt:i4>15</vt:i4>
      </vt:variant>
      <vt:variant>
        <vt:i4>0</vt:i4>
      </vt:variant>
      <vt:variant>
        <vt:i4>5</vt:i4>
      </vt:variant>
      <vt:variant>
        <vt:lpwstr>https://doi.org/10.33545/2664844X.2025.v7.i12a.1023</vt:lpwstr>
      </vt:variant>
      <vt:variant>
        <vt:lpwstr/>
      </vt:variant>
      <vt:variant>
        <vt:i4>393309</vt:i4>
      </vt:variant>
      <vt:variant>
        <vt:i4>12</vt:i4>
      </vt:variant>
      <vt:variant>
        <vt:i4>0</vt:i4>
      </vt:variant>
      <vt:variant>
        <vt:i4>5</vt:i4>
      </vt:variant>
      <vt:variant>
        <vt:lpwstr>https://doi.org/10.3390/jrfm18090494</vt:lpwstr>
      </vt:variant>
      <vt:variant>
        <vt:lpwstr/>
      </vt:variant>
      <vt:variant>
        <vt:i4>1441865</vt:i4>
      </vt:variant>
      <vt:variant>
        <vt:i4>9</vt:i4>
      </vt:variant>
      <vt:variant>
        <vt:i4>0</vt:i4>
      </vt:variant>
      <vt:variant>
        <vt:i4>5</vt:i4>
      </vt:variant>
      <vt:variant>
        <vt:lpwstr>https://doi.org/10.1155/2016/4907654</vt:lpwstr>
      </vt:variant>
      <vt:variant>
        <vt:lpwstr/>
      </vt:variant>
      <vt:variant>
        <vt:i4>1638487</vt:i4>
      </vt:variant>
      <vt:variant>
        <vt:i4>6</vt:i4>
      </vt:variant>
      <vt:variant>
        <vt:i4>0</vt:i4>
      </vt:variant>
      <vt:variant>
        <vt:i4>5</vt:i4>
      </vt:variant>
      <vt:variant>
        <vt:lpwstr>https://id.investing.com/</vt:lpwstr>
      </vt:variant>
      <vt:variant>
        <vt:lpwstr/>
      </vt:variant>
      <vt:variant>
        <vt:i4>6422528</vt:i4>
      </vt:variant>
      <vt:variant>
        <vt:i4>0</vt:i4>
      </vt:variant>
      <vt:variant>
        <vt:i4>0</vt:i4>
      </vt:variant>
      <vt:variant>
        <vt:i4>5</vt:i4>
      </vt:variant>
      <vt:variant>
        <vt:lpwstr>mailto:elly.pusporani@fst.unair.ac.id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for the Jurnal Teknologi</dc:title>
  <dc:subject/>
  <dc:creator>Hadi Nur</dc:creator>
  <cp:keywords/>
  <cp:lastModifiedBy>salman119</cp:lastModifiedBy>
  <cp:revision>3</cp:revision>
  <cp:lastPrinted>2026-04-09T17:27:00Z</cp:lastPrinted>
  <dcterms:created xsi:type="dcterms:W3CDTF">2026-05-08T06:00:00Z</dcterms:created>
  <dcterms:modified xsi:type="dcterms:W3CDTF">2026-05-08T06:29:00Z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8af88e9b-b4d8-38fc-9e6d-01bc68a8907e</vt:lpwstr>
  </property>
  <property fmtid="{D5CDD505-2E9C-101B-9397-08002B2CF9AE}" pid="24" name="Mendeley Citation Style_1">
    <vt:lpwstr>http://www.zotero.org/styles/ieee</vt:lpwstr>
  </property>
</Properties>
</file>