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8A6D3B"/>
          <w:sz w:val="28"/>
          <w:szCs w:val="28"/>
        </w:rPr>
        <w:t xml:space="preserve">DOKUMEN KEBUTUHAN BISNIS</w:t>
      </w:r>
    </w:p>
    <w:p>
      <w:pPr>
        <w:spacing w:after="200" w:before="200"/>
        <w:jc w:val="center"/>
      </w:pPr>
      <w:r>
        <w:rPr>
          <w:color w:val="5B5F66"/>
          <w:sz w:val="22"/>
          <w:szCs w:val="22"/>
        </w:rPr>
        <w:t xml:space="preserve">(BUSINESS REQUIREMENTS DOCUMENT)</w:t>
      </w:r>
    </w:p>
    <w:p>
      <w:pPr>
        <w:spacing w:before="600"/>
        <w:jc w:val="center"/>
      </w:pPr>
      <w:r>
        <w:rPr>
          <w:b/>
          <w:bCs/>
          <w:color w:val="1F2A44"/>
          <w:sz w:val="40"/>
          <w:szCs w:val="40"/>
        </w:rPr>
        <w:t xml:space="preserve">Platform Profil Bisnis Premium &amp; Aplikasi Akuntansi UMKM</w:t>
      </w:r>
    </w:p>
    <w:p>
      <w:pPr>
        <w:spacing w:after="800" w:before="200"/>
        <w:jc w:val="center"/>
      </w:pPr>
      <w:r>
        <w:rPr>
          <w:i/>
          <w:iCs/>
          <w:color w:val="5B5F66"/>
          <w:sz w:val="20"/>
          <w:szCs w:val="20"/>
        </w:rPr>
        <w:t xml:space="preserve">(Nama Produk: [ditentukan kemudian] — Working Title: "SIA-UMKM Premium")</w:t>
      </w:r>
    </w:p>
    <w:p>
      <w:pPr>
        <w:spacing w:before="1600"/>
        <w:jc w:val="center"/>
      </w:pPr>
      <w:r>
        <w:rPr>
          <w:sz w:val="20"/>
          <w:szCs w:val="20"/>
        </w:rPr>
        <w:t xml:space="preserve">Dokumen No.: BRD-UMKM-01</w:t>
      </w:r>
    </w:p>
    <w:p>
      <w:pPr>
        <w:jc w:val="center"/>
      </w:pPr>
      <w:r>
        <w:rPr>
          <w:sz w:val="20"/>
          <w:szCs w:val="20"/>
        </w:rPr>
        <w:t xml:space="preserve">Versi 1.0</w:t>
      </w:r>
    </w:p>
    <w:p>
      <w:pPr>
        <w:jc w:val="center"/>
      </w:pPr>
      <w:r>
        <w:rPr>
          <w:sz w:val="20"/>
          <w:szCs w:val="20"/>
        </w:rPr>
        <w:t xml:space="preserve">12 Juli 2026</w:t>
      </w:r>
    </w:p>
    <w:p>
      <w:pPr>
        <w:spacing w:before="2000"/>
        <w:jc w:val="center"/>
      </w:pPr>
      <w:r>
        <w:rPr>
          <w:color w:val="5B5F66"/>
          <w:sz w:val="20"/>
          <w:szCs w:val="20"/>
        </w:rPr>
        <w:t xml:space="preserve">Disusun oleh: Nasrullah</w:t>
      </w:r>
    </w:p>
    <w:p>
      <w:r>
        <w:br w:type="page"/>
      </w:r>
    </w:p>
    <w:p>
      <w:pPr>
        <w:pStyle w:val="Heading1"/>
        <w:spacing w:after="200" w:before="400"/>
      </w:pPr>
      <w:r>
        <w:rPr>
          <w:b/>
          <w:bCs/>
          <w:color w:val="1F2A44"/>
        </w:rPr>
        <w:t xml:space="preserve">Kontrol Dokumen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200"/>
        <w:gridCol w:w="1600"/>
      </w:tblGrid>
      <w:tr>
        <w:trPr>
          <w:tblHeader/>
        </w:trPr>
        <w:tc>
          <w:tcPr>
            <w:tcW w:type="dxa" w:w="1600"/>
            <w:shd w:fill="1F2A44" w:val="clear"/>
            <w:tcMar>
              <w:top w:type="dxa" w:w="80"/>
              <w:left w:type="dxa" w:w="100"/>
              <w:bottom w:type="dxa" w:w="80"/>
              <w:right w:type="dxa" w:w="100"/>
            </w:tcMar>
          </w:tcPr>
          <w:p>
            <w:pPr>
              <w:jc w:val="left"/>
            </w:pPr>
            <w:r>
              <w:rPr>
                <w:b/>
                <w:bCs/>
                <w:color w:val="FFFFFF"/>
              </w:rPr>
              <w:t xml:space="preserve">Versi</w:t>
            </w:r>
          </w:p>
        </w:tc>
        <w:tc>
          <w:tcPr>
            <w:tcW w:type="dxa" w:w="1600"/>
            <w:shd w:fill="1F2A44" w:val="clear"/>
            <w:tcMar>
              <w:top w:type="dxa" w:w="80"/>
              <w:left w:type="dxa" w:w="100"/>
              <w:bottom w:type="dxa" w:w="80"/>
              <w:right w:type="dxa" w:w="100"/>
            </w:tcMar>
          </w:tcPr>
          <w:p>
            <w:pPr>
              <w:jc w:val="left"/>
            </w:pPr>
            <w:r>
              <w:rPr>
                <w:b/>
                <w:bCs/>
                <w:color w:val="FFFFFF"/>
              </w:rPr>
              <w:t xml:space="preserve">Tanggal</w:t>
            </w:r>
          </w:p>
        </w:tc>
        <w:tc>
          <w:tcPr>
            <w:tcW w:type="dxa" w:w="4200"/>
            <w:shd w:fill="1F2A44" w:val="clear"/>
            <w:tcMar>
              <w:top w:type="dxa" w:w="80"/>
              <w:left w:type="dxa" w:w="100"/>
              <w:bottom w:type="dxa" w:w="80"/>
              <w:right w:type="dxa" w:w="100"/>
            </w:tcMar>
          </w:tcPr>
          <w:p>
            <w:pPr>
              <w:jc w:val="left"/>
            </w:pPr>
            <w:r>
              <w:rPr>
                <w:b/>
                <w:bCs/>
                <w:color w:val="FFFFFF"/>
              </w:rPr>
              <w:t xml:space="preserve">Keterangan</w:t>
            </w:r>
          </w:p>
        </w:tc>
        <w:tc>
          <w:tcPr>
            <w:tcW w:type="dxa" w:w="1600"/>
            <w:shd w:fill="1F2A44" w:val="clear"/>
            <w:tcMar>
              <w:top w:type="dxa" w:w="80"/>
              <w:left w:type="dxa" w:w="100"/>
              <w:bottom w:type="dxa" w:w="80"/>
              <w:right w:type="dxa" w:w="100"/>
            </w:tcMar>
          </w:tcPr>
          <w:p>
            <w:pPr>
              <w:jc w:val="left"/>
            </w:pPr>
            <w:r>
              <w:rPr>
                <w:b/>
                <w:bCs/>
                <w:color w:val="FFFFFF"/>
              </w:rPr>
              <w:t xml:space="preserve">Disusun oleh</w:t>
            </w:r>
          </w:p>
        </w:tc>
      </w:tr>
      <w:tr>
        <w:tc>
          <w:tcPr>
            <w:tcW w:type="dxa" w:w="1600"/>
            <w:shd w:fill="F2EFE9" w:val="clear"/>
            <w:tcMar>
              <w:top w:type="dxa" w:w="80"/>
              <w:left w:type="dxa" w:w="100"/>
              <w:bottom w:type="dxa" w:w="80"/>
              <w:right w:type="dxa" w:w="100"/>
            </w:tcMar>
          </w:tcPr>
          <w:p>
            <w:pPr>
              <w:jc w:val="left"/>
            </w:pPr>
            <w:r>
              <w:rPr>
                <w:b w:val="false"/>
                <w:bCs w:val="false"/>
                <w:color w:val="000000"/>
              </w:rPr>
              <w:t xml:space="preserve">1.0</w:t>
            </w:r>
          </w:p>
        </w:tc>
        <w:tc>
          <w:tcPr>
            <w:tcW w:type="dxa" w:w="1600"/>
            <w:shd w:fill="F2EFE9" w:val="clear"/>
            <w:tcMar>
              <w:top w:type="dxa" w:w="80"/>
              <w:left w:type="dxa" w:w="100"/>
              <w:bottom w:type="dxa" w:w="80"/>
              <w:right w:type="dxa" w:w="100"/>
            </w:tcMar>
          </w:tcPr>
          <w:p>
            <w:pPr>
              <w:jc w:val="left"/>
            </w:pPr>
            <w:r>
              <w:rPr>
                <w:b w:val="false"/>
                <w:bCs w:val="false"/>
                <w:color w:val="000000"/>
              </w:rPr>
              <w:t xml:space="preserve">12 Juli 2026</w:t>
            </w:r>
          </w:p>
        </w:tc>
        <w:tc>
          <w:tcPr>
            <w:tcW w:type="dxa" w:w="4200"/>
            <w:shd w:fill="F2EFE9" w:val="clear"/>
            <w:tcMar>
              <w:top w:type="dxa" w:w="80"/>
              <w:left w:type="dxa" w:w="100"/>
              <w:bottom w:type="dxa" w:w="80"/>
              <w:right w:type="dxa" w:w="100"/>
            </w:tcMar>
          </w:tcPr>
          <w:p>
            <w:pPr>
              <w:jc w:val="left"/>
            </w:pPr>
            <w:r>
              <w:rPr>
                <w:b w:val="false"/>
                <w:bCs w:val="false"/>
                <w:color w:val="000000"/>
              </w:rPr>
              <w:t xml:space="preserve">Penerbitan awal BRD — lingkup Halaman Profil Bisnis Premium + Aplikasi Akuntansi UMKM</w:t>
            </w:r>
          </w:p>
        </w:tc>
        <w:tc>
          <w:tcPr>
            <w:tcW w:type="dxa" w:w="1600"/>
            <w:shd w:fill="F2EFE9" w:val="clear"/>
            <w:tcMar>
              <w:top w:type="dxa" w:w="80"/>
              <w:left w:type="dxa" w:w="100"/>
              <w:bottom w:type="dxa" w:w="80"/>
              <w:right w:type="dxa" w:w="100"/>
            </w:tcMar>
          </w:tcPr>
          <w:p>
            <w:pPr>
              <w:jc w:val="left"/>
            </w:pPr>
            <w:r>
              <w:rPr>
                <w:b w:val="false"/>
                <w:bCs w:val="false"/>
                <w:color w:val="000000"/>
              </w:rPr>
              <w:t xml:space="preserve">Nasrullah</w:t>
            </w:r>
          </w:p>
        </w:tc>
      </w:tr>
    </w:tbl>
    <w:p>
      <w:pPr>
        <w:spacing w:before="300"/>
      </w:pPr>
    </w:p>
    <w:p>
      <w:pPr>
        <w:pStyle w:val="Heading2"/>
        <w:spacing w:after="150" w:before="300"/>
      </w:pPr>
      <w:r>
        <w:rPr>
          <w:b/>
          <w:bCs/>
          <w:color w:val="1F2A44"/>
        </w:rPr>
        <w:t xml:space="preserve">Distribusi Dokumen</w:t>
      </w:r>
    </w:p>
    <w:p>
      <w:pPr>
        <w:spacing w:after="160" w:line="300"/>
      </w:pPr>
      <w:r>
        <w:t xml:space="preserve">Dokumen ini menjadi acuan utama untuk penyusunan SRS (Software Requirements Specification), SAD (Software Architecture Document), dan backlog implementasi. Setiap perubahan lingkup harus tercermin melalui pembaruan versi dokumen ini.</w:t>
      </w:r>
    </w:p>
    <w:p>
      <w:r>
        <w:br w:type="page"/>
      </w:r>
    </w:p>
    <w:p>
      <w:pPr>
        <w:pStyle w:val="Heading1"/>
        <w:spacing w:after="200" w:before="400"/>
      </w:pPr>
      <w:r>
        <w:rPr>
          <w:b/>
          <w:bCs/>
          <w:color w:val="1F2A44"/>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2A44"/>
        </w:rPr>
        <w:t xml:space="preserve">1. Pendahuluan</w:t>
      </w:r>
    </w:p>
    <w:p>
      <w:pPr>
        <w:pStyle w:val="Heading2"/>
        <w:spacing w:after="150" w:before="300"/>
      </w:pPr>
      <w:r>
        <w:rPr>
          <w:b/>
          <w:bCs/>
          <w:color w:val="1F2A44"/>
        </w:rPr>
        <w:t xml:space="preserve">1.1 Latar Belakang</w:t>
      </w:r>
    </w:p>
    <w:p>
      <w:pPr>
        <w:spacing w:after="160" w:line="300"/>
      </w:pPr>
      <w:r>
        <w:t xml:space="preserve">Sebagian besar UMKM di Indonesia belum memiliki kehadiran digital resmi (website profil usaha) maupun sistem pencatatan keuangan yang tertata, sehingga menyulitkan kepatuhan pajak, pengajuan pembiayaan (KUR/pinjaman bank), dan pengambilan keputusan bisnis. Perubahan regulasi PPh Final UMKM melalui Peraturan Pemerintah Nomor 20 Tahun 2026 (PP 20/2026) — yang menghapus batas waktu pemanfaatan tarif 0,5% bagi Wajib Pajak Orang Pribadi dan PT Perorangan, namun mengeluarkan CV/Firma/PT non-perorangan dari fasilitas tersebut — menciptakan kebutuhan baru akan sistem yang dapat mengikuti perubahan aturan secara adaptif.</w:t>
      </w:r>
    </w:p>
    <w:p>
      <w:pPr>
        <w:spacing w:after="160" w:line="300"/>
      </w:pPr>
      <w:r>
        <w:t xml:space="preserve">Produk ini menggabungkan dua kebutuhan sekaligus dalam satu platform: (1) halaman profil bisnis premium yang berfungsi sebagai etalase digital resmi UMKM, dan (2) aplikasi akuntansi lengkap yang membungkus pencatatan transaksi, laporan keuangan, dan kepatuhan pajak dalam bahasa yang mudah dipahami oleh pemilik usaha non-akuntan.</w:t>
      </w:r>
    </w:p>
    <w:p>
      <w:pPr>
        <w:pStyle w:val="Heading2"/>
        <w:spacing w:after="150" w:before="300"/>
      </w:pPr>
      <w:r>
        <w:rPr>
          <w:b/>
          <w:bCs/>
          <w:color w:val="1F2A44"/>
        </w:rPr>
        <w:t xml:space="preserve">1.2 Tujuan Dokumen</w:t>
      </w:r>
    </w:p>
    <w:p>
      <w:pPr>
        <w:pStyle w:val="ListParagraph"/>
        <w:numPr>
          <w:ilvl w:val="0"/>
          <w:numId w:val="2"/>
        </w:numPr>
        <w:spacing w:after="80"/>
      </w:pPr>
      <w:r>
        <w:t xml:space="preserve">Menetapkan kebutuhan bisnis (business requirements) secara formal sebagai acuan pengembangan.</w:t>
      </w:r>
    </w:p>
    <w:p>
      <w:pPr>
        <w:pStyle w:val="ListParagraph"/>
        <w:numPr>
          <w:ilvl w:val="0"/>
          <w:numId w:val="2"/>
        </w:numPr>
        <w:spacing w:after="80"/>
      </w:pPr>
      <w:r>
        <w:t xml:space="preserve">Menjadi dasar penyusunan SRS dan SAD pada tahap berikutnya.</w:t>
      </w:r>
    </w:p>
    <w:p>
      <w:pPr>
        <w:pStyle w:val="ListParagraph"/>
        <w:numPr>
          <w:ilvl w:val="0"/>
          <w:numId w:val="2"/>
        </w:numPr>
        <w:spacing w:after="80"/>
      </w:pPr>
      <w:r>
        <w:t xml:space="preserve">Menyelaraskan pemahaman lingkup antara pemilik produk dan tim implementasi (meski dikerjakan solo, dokumen ini menjaga konsistensi keputusan desain dari waktu ke waktu).</w:t>
      </w:r>
    </w:p>
    <w:p>
      <w:pPr>
        <w:pStyle w:val="Heading2"/>
        <w:spacing w:after="150" w:before="300"/>
      </w:pPr>
      <w:r>
        <w:rPr>
          <w:b/>
          <w:bCs/>
          <w:color w:val="1F2A44"/>
        </w:rPr>
        <w:t xml:space="preserve">1.3 Ruang Lingkup</w:t>
      </w:r>
    </w:p>
    <w:p>
      <w:pPr>
        <w:pStyle w:val="Heading3"/>
        <w:spacing w:after="100" w:before="200"/>
      </w:pPr>
      <w:r>
        <w:rPr>
          <w:b/>
          <w:bCs/>
          <w:color w:val="8A6D3B"/>
        </w:rPr>
        <w:t xml:space="preserve">Termasuk dalam Lingkup (In-Scope)</w:t>
      </w:r>
    </w:p>
    <w:p>
      <w:pPr>
        <w:pStyle w:val="ListParagraph"/>
        <w:numPr>
          <w:ilvl w:val="0"/>
          <w:numId w:val="2"/>
        </w:numPr>
        <w:spacing w:after="80"/>
      </w:pPr>
      <w:r>
        <w:t xml:space="preserve">Halaman profil bisnis publik (marketing/showcase) per klien, dengan dukungan domain kustom.</w:t>
      </w:r>
    </w:p>
    <w:p>
      <w:pPr>
        <w:pStyle w:val="ListParagraph"/>
        <w:numPr>
          <w:ilvl w:val="0"/>
          <w:numId w:val="2"/>
        </w:numPr>
        <w:spacing w:after="80"/>
      </w:pPr>
      <w:r>
        <w:t xml:space="preserve">Aplikasi akuntansi privat: identitas usaha, master data, transaksi harian, laporan keuangan, perpajakan, dan analisis biaya.</w:t>
      </w:r>
    </w:p>
    <w:p>
      <w:pPr>
        <w:pStyle w:val="ListParagraph"/>
        <w:numPr>
          <w:ilvl w:val="0"/>
          <w:numId w:val="2"/>
        </w:numPr>
        <w:spacing w:after="80"/>
      </w:pPr>
      <w:r>
        <w:t xml:space="preserve">Model deployment: instalasi terpisah (single-tenant) per klien, mengikuti pola operasional yang telah terbukti pada produk sejenis (SIA-PDAM).</w:t>
      </w:r>
    </w:p>
    <w:p>
      <w:pPr>
        <w:pStyle w:val="ListParagraph"/>
        <w:numPr>
          <w:ilvl w:val="0"/>
          <w:numId w:val="2"/>
        </w:numPr>
        <w:spacing w:after="80"/>
      </w:pPr>
      <w:r>
        <w:t xml:space="preserve">Integrasi pelaporan/pembayaran pajak melalui kerja sama dengan Penyedia Jasa Aplikasi Perpajakan (PJAP) pihak ketiga yang telah resmi ditunjuk DJP.</w:t>
      </w:r>
    </w:p>
    <w:p>
      <w:pPr>
        <w:pStyle w:val="Heading3"/>
        <w:spacing w:after="100" w:before="200"/>
      </w:pPr>
      <w:r>
        <w:rPr>
          <w:b/>
          <w:bCs/>
          <w:color w:val="8A6D3B"/>
        </w:rPr>
        <w:t xml:space="preserve">Tidak Termasuk dalam Lingkup (Out-of-Scope)</w:t>
      </w:r>
    </w:p>
    <w:p>
      <w:pPr>
        <w:pStyle w:val="ListParagraph"/>
        <w:numPr>
          <w:ilvl w:val="0"/>
          <w:numId w:val="2"/>
        </w:numPr>
        <w:spacing w:after="80"/>
      </w:pPr>
      <w:r>
        <w:t xml:space="preserve">Produk TIDAK berfungsi sebagai Penyedia Jasa Aplikasi Perpajakan (PJAP) resmi pada fase awal — pengajuan status PJAP mandiri adalah pertimbangan fase lanjutan (di luar cakupan BRD ini).</w:t>
      </w:r>
    </w:p>
    <w:p>
      <w:pPr>
        <w:pStyle w:val="ListParagraph"/>
        <w:numPr>
          <w:ilvl w:val="0"/>
          <w:numId w:val="2"/>
        </w:numPr>
        <w:spacing w:after="80"/>
      </w:pPr>
      <w:r>
        <w:t xml:space="preserve">Produk TIDAK memberikan opini, nasihat, atau jasa konsultasi perpajakan personal — untuk menghindari cakupan regulasi izin praktik konsultan pajak (PMK 111/2014 s.t.d.d. PMK 175/2022).</w:t>
      </w:r>
    </w:p>
    <w:p>
      <w:pPr>
        <w:pStyle w:val="ListParagraph"/>
        <w:numPr>
          <w:ilvl w:val="0"/>
          <w:numId w:val="2"/>
        </w:numPr>
        <w:spacing w:after="80"/>
      </w:pPr>
      <w:r>
        <w:t xml:space="preserve">Modul e-commerce penuh (keranjang belanja, pembayaran online produk) tidak termasuk lingkup awal; katalog produk pada halaman profil bersifat showcase, bukan transaksional.</w:t>
      </w:r>
    </w:p>
    <w:p>
      <w:pPr>
        <w:pStyle w:val="ListParagraph"/>
        <w:numPr>
          <w:ilvl w:val="0"/>
          <w:numId w:val="2"/>
        </w:numPr>
        <w:spacing w:after="80"/>
      </w:pPr>
      <w:r>
        <w:t xml:space="preserve">Payroll penuh (BPJS, THR, PPh 21 lengkap multi-skema) tidak termasuk lingkup awal; hanya kalkulasi PPh 21 dasar.</w:t>
      </w:r>
    </w:p>
    <w:p>
      <w:pPr>
        <w:pStyle w:val="Heading2"/>
        <w:spacing w:after="150" w:before="300"/>
      </w:pPr>
      <w:r>
        <w:rPr>
          <w:b/>
          <w:bCs/>
          <w:color w:val="1F2A44"/>
        </w:rPr>
        <w:t xml:space="preserve">1.4 Definisi &amp; Istilah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dxa" w:w="2200"/>
            <w:shd w:fill="F2EFE9" w:val="clear"/>
            <w:tcMar>
              <w:top w:type="dxa" w:w="80"/>
              <w:left w:type="dxa" w:w="100"/>
              <w:bottom w:type="dxa" w:w="80"/>
              <w:right w:type="dxa" w:w="100"/>
            </w:tcMar>
          </w:tcPr>
          <w:p>
            <w:pPr>
              <w:jc w:val="left"/>
            </w:pPr>
            <w:r>
              <w:rPr>
                <w:b/>
                <w:bCs/>
                <w:color w:val="000000"/>
              </w:rPr>
              <w:t xml:space="preserve">UMKM</w:t>
            </w:r>
          </w:p>
        </w:tc>
        <w:tc>
          <w:tcPr>
            <w:tcW w:type="dxa" w:w="6900"/>
            <w:shd w:fill="F2EFE9" w:val="clear"/>
            <w:tcMar>
              <w:top w:type="dxa" w:w="80"/>
              <w:left w:type="dxa" w:w="100"/>
              <w:bottom w:type="dxa" w:w="80"/>
              <w:right w:type="dxa" w:w="100"/>
            </w:tcMar>
          </w:tcPr>
          <w:p>
            <w:pPr>
              <w:jc w:val="left"/>
            </w:pPr>
            <w:r>
              <w:rPr>
                <w:b w:val="false"/>
                <w:bCs w:val="false"/>
                <w:color w:val="000000"/>
              </w:rPr>
              <w:t xml:space="preserve">Usaha Mikro, Kecil, dan Menengah sesuai UU No. 20 Tahun 2008.</w:t>
            </w:r>
          </w:p>
        </w:tc>
      </w:tr>
      <w:tr>
        <w:tc>
          <w:tcPr>
            <w:tcW w:type="dxa" w:w="2200"/>
            <w:shd w:fill="FFFFFF" w:val="clear"/>
            <w:tcMar>
              <w:top w:type="dxa" w:w="80"/>
              <w:left w:type="dxa" w:w="100"/>
              <w:bottom w:type="dxa" w:w="80"/>
              <w:right w:type="dxa" w:w="100"/>
            </w:tcMar>
          </w:tcPr>
          <w:p>
            <w:pPr>
              <w:jc w:val="left"/>
            </w:pPr>
            <w:r>
              <w:rPr>
                <w:b/>
                <w:bCs/>
                <w:color w:val="000000"/>
              </w:rPr>
              <w:t xml:space="preserve">WP OP</w:t>
            </w:r>
          </w:p>
        </w:tc>
        <w:tc>
          <w:tcPr>
            <w:tcW w:type="dxa" w:w="6900"/>
            <w:shd w:fill="FFFFFF" w:val="clear"/>
            <w:tcMar>
              <w:top w:type="dxa" w:w="80"/>
              <w:left w:type="dxa" w:w="100"/>
              <w:bottom w:type="dxa" w:w="80"/>
              <w:right w:type="dxa" w:w="100"/>
            </w:tcMar>
          </w:tcPr>
          <w:p>
            <w:pPr>
              <w:jc w:val="left"/>
            </w:pPr>
            <w:r>
              <w:rPr>
                <w:b w:val="false"/>
                <w:bCs w:val="false"/>
                <w:color w:val="000000"/>
              </w:rPr>
              <w:t xml:space="preserve">Wajib Pajak Orang Pribadi.</w:t>
            </w:r>
          </w:p>
        </w:tc>
      </w:tr>
      <w:tr>
        <w:tc>
          <w:tcPr>
            <w:tcW w:type="dxa" w:w="2200"/>
            <w:shd w:fill="F2EFE9" w:val="clear"/>
            <w:tcMar>
              <w:top w:type="dxa" w:w="80"/>
              <w:left w:type="dxa" w:w="100"/>
              <w:bottom w:type="dxa" w:w="80"/>
              <w:right w:type="dxa" w:w="100"/>
            </w:tcMar>
          </w:tcPr>
          <w:p>
            <w:pPr>
              <w:jc w:val="left"/>
            </w:pPr>
            <w:r>
              <w:rPr>
                <w:b/>
                <w:bCs/>
                <w:color w:val="000000"/>
              </w:rPr>
              <w:t xml:space="preserve">PT Perorangan</w:t>
            </w:r>
          </w:p>
        </w:tc>
        <w:tc>
          <w:tcPr>
            <w:tcW w:type="dxa" w:w="6900"/>
            <w:shd w:fill="F2EFE9" w:val="clear"/>
            <w:tcMar>
              <w:top w:type="dxa" w:w="80"/>
              <w:left w:type="dxa" w:w="100"/>
              <w:bottom w:type="dxa" w:w="80"/>
              <w:right w:type="dxa" w:w="100"/>
            </w:tcMar>
          </w:tcPr>
          <w:p>
            <w:pPr>
              <w:jc w:val="left"/>
            </w:pPr>
            <w:r>
              <w:rPr>
                <w:b w:val="false"/>
                <w:bCs w:val="false"/>
                <w:color w:val="000000"/>
              </w:rPr>
              <w:t xml:space="preserve">Perseroan Perorangan yang didirikan oleh 1 (satu) orang, sesuai UU Cipta Kerja.</w:t>
            </w:r>
          </w:p>
        </w:tc>
      </w:tr>
      <w:tr>
        <w:tc>
          <w:tcPr>
            <w:tcW w:type="dxa" w:w="2200"/>
            <w:shd w:fill="FFFFFF" w:val="clear"/>
            <w:tcMar>
              <w:top w:type="dxa" w:w="80"/>
              <w:left w:type="dxa" w:w="100"/>
              <w:bottom w:type="dxa" w:w="80"/>
              <w:right w:type="dxa" w:w="100"/>
            </w:tcMar>
          </w:tcPr>
          <w:p>
            <w:pPr>
              <w:jc w:val="left"/>
            </w:pPr>
            <w:r>
              <w:rPr>
                <w:b/>
                <w:bCs/>
                <w:color w:val="000000"/>
              </w:rPr>
              <w:t xml:space="preserve">PPh Final UMKM</w:t>
            </w:r>
          </w:p>
        </w:tc>
        <w:tc>
          <w:tcPr>
            <w:tcW w:type="dxa" w:w="6900"/>
            <w:shd w:fill="FFFFFF" w:val="clear"/>
            <w:tcMar>
              <w:top w:type="dxa" w:w="80"/>
              <w:left w:type="dxa" w:w="100"/>
              <w:bottom w:type="dxa" w:w="80"/>
              <w:right w:type="dxa" w:w="100"/>
            </w:tcMar>
          </w:tcPr>
          <w:p>
            <w:pPr>
              <w:jc w:val="left"/>
            </w:pPr>
            <w:r>
              <w:rPr>
                <w:b w:val="false"/>
                <w:bCs w:val="false"/>
                <w:color w:val="000000"/>
              </w:rPr>
              <w:t xml:space="preserve">Pajak Penghasilan final bertarif 0,5% atas omzet bruto, diatur PP 55/2022 sebagaimana diubah PP 20/2026.</w:t>
            </w:r>
          </w:p>
        </w:tc>
      </w:tr>
      <w:tr>
        <w:tc>
          <w:tcPr>
            <w:tcW w:type="dxa" w:w="2200"/>
            <w:shd w:fill="F2EFE9" w:val="clear"/>
            <w:tcMar>
              <w:top w:type="dxa" w:w="80"/>
              <w:left w:type="dxa" w:w="100"/>
              <w:bottom w:type="dxa" w:w="80"/>
              <w:right w:type="dxa" w:w="100"/>
            </w:tcMar>
          </w:tcPr>
          <w:p>
            <w:pPr>
              <w:jc w:val="left"/>
            </w:pPr>
            <w:r>
              <w:rPr>
                <w:b/>
                <w:bCs/>
                <w:color w:val="000000"/>
              </w:rPr>
              <w:t xml:space="preserve">PJAP</w:t>
            </w:r>
          </w:p>
        </w:tc>
        <w:tc>
          <w:tcPr>
            <w:tcW w:type="dxa" w:w="6900"/>
            <w:shd w:fill="F2EFE9" w:val="clear"/>
            <w:tcMar>
              <w:top w:type="dxa" w:w="80"/>
              <w:left w:type="dxa" w:w="100"/>
              <w:bottom w:type="dxa" w:w="80"/>
              <w:right w:type="dxa" w:w="100"/>
            </w:tcMar>
          </w:tcPr>
          <w:p>
            <w:pPr>
              <w:jc w:val="left"/>
            </w:pPr>
            <w:r>
              <w:rPr>
                <w:b w:val="false"/>
                <w:bCs w:val="false"/>
                <w:color w:val="000000"/>
              </w:rPr>
              <w:t xml:space="preserve">Penyedia Jasa Aplikasi Perpajakan — pihak yang ditunjuk resmi oleh DJP untuk menyediakan layanan aplikasi perpajakan (PER-5/PJ/2025).</w:t>
            </w:r>
          </w:p>
        </w:tc>
      </w:tr>
      <w:tr>
        <w:tc>
          <w:tcPr>
            <w:tcW w:type="dxa" w:w="2200"/>
            <w:shd w:fill="FFFFFF" w:val="clear"/>
            <w:tcMar>
              <w:top w:type="dxa" w:w="80"/>
              <w:left w:type="dxa" w:w="100"/>
              <w:bottom w:type="dxa" w:w="80"/>
              <w:right w:type="dxa" w:w="100"/>
            </w:tcMar>
          </w:tcPr>
          <w:p>
            <w:pPr>
              <w:jc w:val="left"/>
            </w:pPr>
            <w:r>
              <w:rPr>
                <w:b/>
                <w:bCs/>
                <w:color w:val="000000"/>
              </w:rPr>
              <w:t xml:space="preserve">Coretax (CTAS)</w:t>
            </w:r>
          </w:p>
        </w:tc>
        <w:tc>
          <w:tcPr>
            <w:tcW w:type="dxa" w:w="6900"/>
            <w:shd w:fill="FFFFFF" w:val="clear"/>
            <w:tcMar>
              <w:top w:type="dxa" w:w="80"/>
              <w:left w:type="dxa" w:w="100"/>
              <w:bottom w:type="dxa" w:w="80"/>
              <w:right w:type="dxa" w:w="100"/>
            </w:tcMar>
          </w:tcPr>
          <w:p>
            <w:pPr>
              <w:jc w:val="left"/>
            </w:pPr>
            <w:r>
              <w:rPr>
                <w:b w:val="false"/>
                <w:bCs w:val="false"/>
                <w:color w:val="000000"/>
              </w:rPr>
              <w:t xml:space="preserve">Core Tax Administration System — sistem inti administrasi perpajakan DJP yang menggantikan sistem lama.</w:t>
            </w:r>
          </w:p>
        </w:tc>
      </w:tr>
      <w:tr>
        <w:tc>
          <w:tcPr>
            <w:tcW w:type="dxa" w:w="2200"/>
            <w:shd w:fill="F2EFE9" w:val="clear"/>
            <w:tcMar>
              <w:top w:type="dxa" w:w="80"/>
              <w:left w:type="dxa" w:w="100"/>
              <w:bottom w:type="dxa" w:w="80"/>
              <w:right w:type="dxa" w:w="100"/>
            </w:tcMar>
          </w:tcPr>
          <w:p>
            <w:pPr>
              <w:jc w:val="left"/>
            </w:pPr>
            <w:r>
              <w:rPr>
                <w:b/>
                <w:bCs/>
                <w:color w:val="000000"/>
              </w:rPr>
              <w:t xml:space="preserve">COA</w:t>
            </w:r>
          </w:p>
        </w:tc>
        <w:tc>
          <w:tcPr>
            <w:tcW w:type="dxa" w:w="6900"/>
            <w:shd w:fill="F2EFE9" w:val="clear"/>
            <w:tcMar>
              <w:top w:type="dxa" w:w="80"/>
              <w:left w:type="dxa" w:w="100"/>
              <w:bottom w:type="dxa" w:w="80"/>
              <w:right w:type="dxa" w:w="100"/>
            </w:tcMar>
          </w:tcPr>
          <w:p>
            <w:pPr>
              <w:jc w:val="left"/>
            </w:pPr>
            <w:r>
              <w:rPr>
                <w:b w:val="false"/>
                <w:bCs w:val="false"/>
                <w:color w:val="000000"/>
              </w:rPr>
              <w:t xml:space="preserve">Chart of Accounts / Bagan Akun — daftar akun akuntansi standar.</w:t>
            </w:r>
          </w:p>
        </w:tc>
      </w:tr>
      <w:tr>
        <w:tc>
          <w:tcPr>
            <w:tcW w:type="dxa" w:w="2200"/>
            <w:shd w:fill="FFFFFF" w:val="clear"/>
            <w:tcMar>
              <w:top w:type="dxa" w:w="80"/>
              <w:left w:type="dxa" w:w="100"/>
              <w:bottom w:type="dxa" w:w="80"/>
              <w:right w:type="dxa" w:w="100"/>
            </w:tcMar>
          </w:tcPr>
          <w:p>
            <w:pPr>
              <w:jc w:val="left"/>
            </w:pPr>
            <w:r>
              <w:rPr>
                <w:b/>
                <w:bCs/>
                <w:color w:val="000000"/>
              </w:rPr>
              <w:t xml:space="preserve">HPP</w:t>
            </w:r>
          </w:p>
        </w:tc>
        <w:tc>
          <w:tcPr>
            <w:tcW w:type="dxa" w:w="6900"/>
            <w:shd w:fill="FFFFFF" w:val="clear"/>
            <w:tcMar>
              <w:top w:type="dxa" w:w="80"/>
              <w:left w:type="dxa" w:w="100"/>
              <w:bottom w:type="dxa" w:w="80"/>
              <w:right w:type="dxa" w:w="100"/>
            </w:tcMar>
          </w:tcPr>
          <w:p>
            <w:pPr>
              <w:jc w:val="left"/>
            </w:pPr>
            <w:r>
              <w:rPr>
                <w:b w:val="false"/>
                <w:bCs w:val="false"/>
                <w:color w:val="000000"/>
              </w:rPr>
              <w:t xml:space="preserve">Harga Pokok Penjualan/Produksi.</w:t>
            </w:r>
          </w:p>
        </w:tc>
      </w:tr>
      <w:tr>
        <w:tc>
          <w:tcPr>
            <w:tcW w:type="dxa" w:w="2200"/>
            <w:shd w:fill="F2EFE9" w:val="clear"/>
            <w:tcMar>
              <w:top w:type="dxa" w:w="80"/>
              <w:left w:type="dxa" w:w="100"/>
              <w:bottom w:type="dxa" w:w="80"/>
              <w:right w:type="dxa" w:w="100"/>
            </w:tcMar>
          </w:tcPr>
          <w:p>
            <w:pPr>
              <w:jc w:val="left"/>
            </w:pPr>
            <w:r>
              <w:rPr>
                <w:b/>
                <w:bCs/>
                <w:color w:val="000000"/>
              </w:rPr>
              <w:t xml:space="preserve">BEP</w:t>
            </w:r>
          </w:p>
        </w:tc>
        <w:tc>
          <w:tcPr>
            <w:tcW w:type="dxa" w:w="6900"/>
            <w:shd w:fill="F2EFE9" w:val="clear"/>
            <w:tcMar>
              <w:top w:type="dxa" w:w="80"/>
              <w:left w:type="dxa" w:w="100"/>
              <w:bottom w:type="dxa" w:w="80"/>
              <w:right w:type="dxa" w:w="100"/>
            </w:tcMar>
          </w:tcPr>
          <w:p>
            <w:pPr>
              <w:jc w:val="left"/>
            </w:pPr>
            <w:r>
              <w:rPr>
                <w:b w:val="false"/>
                <w:bCs w:val="false"/>
                <w:color w:val="000000"/>
              </w:rPr>
              <w:t xml:space="preserve">Break-Even Point / Titik Impas.</w:t>
            </w:r>
          </w:p>
        </w:tc>
      </w:tr>
      <w:tr>
        <w:tc>
          <w:tcPr>
            <w:tcW w:type="dxa" w:w="2200"/>
            <w:shd w:fill="FFFFFF" w:val="clear"/>
            <w:tcMar>
              <w:top w:type="dxa" w:w="80"/>
              <w:left w:type="dxa" w:w="100"/>
              <w:bottom w:type="dxa" w:w="80"/>
              <w:right w:type="dxa" w:w="100"/>
            </w:tcMar>
          </w:tcPr>
          <w:p>
            <w:pPr>
              <w:jc w:val="left"/>
            </w:pPr>
            <w:r>
              <w:rPr>
                <w:b/>
                <w:bCs/>
                <w:color w:val="000000"/>
              </w:rPr>
              <w:t xml:space="preserve">Single-tenant</w:t>
            </w:r>
          </w:p>
        </w:tc>
        <w:tc>
          <w:tcPr>
            <w:tcW w:type="dxa" w:w="6900"/>
            <w:shd w:fill="FFFFFF" w:val="clear"/>
            <w:tcMar>
              <w:top w:type="dxa" w:w="80"/>
              <w:left w:type="dxa" w:w="100"/>
              <w:bottom w:type="dxa" w:w="80"/>
              <w:right w:type="dxa" w:w="100"/>
            </w:tcMar>
          </w:tcPr>
          <w:p>
            <w:pPr>
              <w:jc w:val="left"/>
            </w:pPr>
            <w:r>
              <w:rPr>
                <w:b w:val="false"/>
                <w:bCs w:val="false"/>
                <w:color w:val="000000"/>
              </w:rPr>
              <w:t xml:space="preserve">Model deployment di mana setiap klien memiliki instance aplikasi dan basis data terpisah.</w:t>
            </w:r>
          </w:p>
        </w:tc>
      </w:tr>
    </w:tbl>
    <w:p>
      <w:r>
        <w:br w:type="page"/>
      </w:r>
    </w:p>
    <w:p>
      <w:pPr>
        <w:pStyle w:val="Heading1"/>
        <w:spacing w:after="200" w:before="400"/>
      </w:pPr>
      <w:r>
        <w:rPr>
          <w:b/>
          <w:bCs/>
          <w:color w:val="1F2A44"/>
        </w:rPr>
        <w:t xml:space="preserve">2. Gambaran Umum Bisnis</w:t>
      </w:r>
    </w:p>
    <w:p>
      <w:pPr>
        <w:pStyle w:val="Heading2"/>
        <w:spacing w:after="150" w:before="300"/>
      </w:pPr>
      <w:r>
        <w:rPr>
          <w:b/>
          <w:bCs/>
          <w:color w:val="1F2A44"/>
        </w:rPr>
        <w:t xml:space="preserve">2.1 Profil Target Pengguna</w:t>
      </w:r>
    </w:p>
    <w:p>
      <w:pPr>
        <w:spacing w:after="160" w:line="300"/>
      </w:pPr>
      <w:r>
        <w:t xml:space="preserve">Target utama adalah pelaku UMKM berbentuk Wajib Pajak Orang Pribadi dan PT Perorangan dengan omzet di bawah Rp4.800.000.000 per tahun — segmen yang mendapat kepastian hukum terbesar dari PP 20/2026 karena tarif PPh Final 0,5% kini berlaku tanpa batas waktu. Target sekunder adalah badan usaha (CV/Firma/PT non-perorangan) yang sedang atau akan bertransisi keluar dari skema PPh Final menuju pembukuan dan PPh umum (Pasal 17 UU PPh), yang membutuhkan sistem pembukuan lebih lengkap.</w:t>
      </w:r>
    </w:p>
    <w:p>
      <w:pPr>
        <w:pStyle w:val="Heading2"/>
        <w:spacing w:after="150" w:before="300"/>
      </w:pPr>
      <w:r>
        <w:rPr>
          <w:b/>
          <w:bCs/>
          <w:color w:val="1F2A44"/>
        </w:rPr>
        <w:t xml:space="preserve">2.2 Model Bisnis &amp; Deployment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F2EFE9" w:val="clear"/>
            <w:tcMar>
              <w:top w:type="dxa" w:w="80"/>
              <w:left w:type="dxa" w:w="100"/>
              <w:bottom w:type="dxa" w:w="80"/>
              <w:right w:type="dxa" w:w="100"/>
            </w:tcMar>
          </w:tcPr>
          <w:p>
            <w:pPr>
              <w:jc w:val="left"/>
            </w:pPr>
            <w:r>
              <w:rPr>
                <w:b/>
                <w:bCs/>
                <w:color w:val="000000"/>
              </w:rPr>
              <w:t xml:space="preserve">Model penyediaan</w:t>
            </w:r>
          </w:p>
        </w:tc>
        <w:tc>
          <w:tcPr>
            <w:tcW w:type="dxa" w:w="6500"/>
            <w:shd w:fill="F2EFE9" w:val="clear"/>
            <w:tcMar>
              <w:top w:type="dxa" w:w="80"/>
              <w:left w:type="dxa" w:w="100"/>
              <w:bottom w:type="dxa" w:w="80"/>
              <w:right w:type="dxa" w:w="100"/>
            </w:tcMar>
          </w:tcPr>
          <w:p>
            <w:pPr>
              <w:jc w:val="left"/>
            </w:pPr>
            <w:r>
              <w:rPr>
                <w:b w:val="false"/>
                <w:bCs w:val="false"/>
                <w:color w:val="000000"/>
              </w:rPr>
              <w:t xml:space="preserve">Instalasi terpisah per klien (single-tenant), bukan SaaS multi-tenant.</w:t>
            </w:r>
          </w:p>
        </w:tc>
      </w:tr>
      <w:tr>
        <w:tc>
          <w:tcPr>
            <w:tcW w:type="dxa" w:w="2600"/>
            <w:shd w:fill="FFFFFF" w:val="clear"/>
            <w:tcMar>
              <w:top w:type="dxa" w:w="80"/>
              <w:left w:type="dxa" w:w="100"/>
              <w:bottom w:type="dxa" w:w="80"/>
              <w:right w:type="dxa" w:w="100"/>
            </w:tcMar>
          </w:tcPr>
          <w:p>
            <w:pPr>
              <w:jc w:val="left"/>
            </w:pPr>
            <w:r>
              <w:rPr>
                <w:b/>
                <w:bCs/>
                <w:color w:val="000000"/>
              </w:rPr>
              <w:t xml:space="preserve">Domain</w:t>
            </w:r>
          </w:p>
        </w:tc>
        <w:tc>
          <w:tcPr>
            <w:tcW w:type="dxa" w:w="6500"/>
            <w:shd w:fill="FFFFFF" w:val="clear"/>
            <w:tcMar>
              <w:top w:type="dxa" w:w="80"/>
              <w:left w:type="dxa" w:w="100"/>
              <w:bottom w:type="dxa" w:w="80"/>
              <w:right w:type="dxa" w:w="100"/>
            </w:tcMar>
          </w:tcPr>
          <w:p>
            <w:pPr>
              <w:jc w:val="left"/>
            </w:pPr>
            <w:r>
              <w:rPr>
                <w:b w:val="false"/>
                <w:bCs w:val="false"/>
                <w:color w:val="000000"/>
              </w:rPr>
              <w:t xml:space="preserve">Setiap klien menggunakan domain kustom miliknya sendiri, dengan SSL yang diprovisikan otomatis.</w:t>
            </w:r>
          </w:p>
        </w:tc>
      </w:tr>
      <w:tr>
        <w:tc>
          <w:tcPr>
            <w:tcW w:type="dxa" w:w="2600"/>
            <w:shd w:fill="F2EFE9" w:val="clear"/>
            <w:tcMar>
              <w:top w:type="dxa" w:w="80"/>
              <w:left w:type="dxa" w:w="100"/>
              <w:bottom w:type="dxa" w:w="80"/>
              <w:right w:type="dxa" w:w="100"/>
            </w:tcMar>
          </w:tcPr>
          <w:p>
            <w:pPr>
              <w:jc w:val="left"/>
            </w:pPr>
            <w:r>
              <w:rPr>
                <w:b/>
                <w:bCs/>
                <w:color w:val="000000"/>
              </w:rPr>
              <w:t xml:space="preserve">Infrastruktur acuan</w:t>
            </w:r>
          </w:p>
        </w:tc>
        <w:tc>
          <w:tcPr>
            <w:tcW w:type="dxa" w:w="6500"/>
            <w:shd w:fill="F2EFE9" w:val="clear"/>
            <w:tcMar>
              <w:top w:type="dxa" w:w="80"/>
              <w:left w:type="dxa" w:w="100"/>
              <w:bottom w:type="dxa" w:w="80"/>
              <w:right w:type="dxa" w:w="100"/>
            </w:tcMar>
          </w:tcPr>
          <w:p>
            <w:pPr>
              <w:jc w:val="left"/>
            </w:pPr>
            <w:r>
              <w:rPr>
                <w:b w:val="false"/>
                <w:bCs w:val="false"/>
                <w:color w:val="000000"/>
              </w:rPr>
              <w:t xml:space="preserve">Container (Docker Compose) per instance, mengikuti pola operasional SIA-PDAM di VPS.</w:t>
            </w:r>
          </w:p>
        </w:tc>
      </w:tr>
      <w:tr>
        <w:tc>
          <w:tcPr>
            <w:tcW w:type="dxa" w:w="2600"/>
            <w:shd w:fill="FFFFFF" w:val="clear"/>
            <w:tcMar>
              <w:top w:type="dxa" w:w="80"/>
              <w:left w:type="dxa" w:w="100"/>
              <w:bottom w:type="dxa" w:w="80"/>
              <w:right w:type="dxa" w:w="100"/>
            </w:tcMar>
          </w:tcPr>
          <w:p>
            <w:pPr>
              <w:jc w:val="left"/>
            </w:pPr>
            <w:r>
              <w:rPr>
                <w:b/>
                <w:bCs/>
                <w:color w:val="000000"/>
              </w:rPr>
              <w:t xml:space="preserve">Lisensi/komersial</w:t>
            </w:r>
          </w:p>
        </w:tc>
        <w:tc>
          <w:tcPr>
            <w:tcW w:type="dxa" w:w="6500"/>
            <w:shd w:fill="FFFFFF" w:val="clear"/>
            <w:tcMar>
              <w:top w:type="dxa" w:w="80"/>
              <w:left w:type="dxa" w:w="100"/>
              <w:bottom w:type="dxa" w:w="80"/>
              <w:right w:type="dxa" w:w="100"/>
            </w:tcMar>
          </w:tcPr>
          <w:p>
            <w:pPr>
              <w:jc w:val="left"/>
            </w:pPr>
            <w:r>
              <w:rPr>
                <w:b w:val="false"/>
                <w:bCs w:val="false"/>
                <w:color w:val="000000"/>
              </w:rPr>
              <w:t xml:space="preserve">Di luar lingkup BRD ini — akan ditetapkan pada dokumen bisnis terpisah (skema harga, kontrak).</w:t>
            </w:r>
          </w:p>
        </w:tc>
      </w:tr>
    </w:tbl>
    <w:p>
      <w:pPr>
        <w:pStyle w:val="Heading2"/>
        <w:spacing w:after="150" w:before="300"/>
      </w:pPr>
      <w:r>
        <w:rPr>
          <w:b/>
          <w:bCs/>
          <w:color w:val="1F2A44"/>
        </w:rPr>
        <w:t xml:space="preserve">2.3 Landasan Regulasi</w:t>
      </w:r>
    </w:p>
    <w:p>
      <w:pPr>
        <w:spacing w:after="160" w:line="300"/>
      </w:pPr>
      <w:r>
        <w:t xml:space="preserve">Modul perpajakan dalam sistem ini harus merujuk pada kerangka regulasi berikut, dan dirancang agar parameter dapat diperbarui tanpa mengubah kode inti aplikasi, mengingat frekuensi perubahan aturan yang tinggi: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F2EFE9" w:val="clear"/>
            <w:tcMar>
              <w:top w:type="dxa" w:w="80"/>
              <w:left w:type="dxa" w:w="100"/>
              <w:bottom w:type="dxa" w:w="80"/>
              <w:right w:type="dxa" w:w="100"/>
            </w:tcMar>
          </w:tcPr>
          <w:p>
            <w:pPr>
              <w:jc w:val="left"/>
            </w:pPr>
            <w:r>
              <w:rPr>
                <w:b/>
                <w:bCs/>
                <w:color w:val="000000"/>
              </w:rPr>
              <w:t xml:space="preserve">PP 20/2026</w:t>
            </w:r>
          </w:p>
        </w:tc>
        <w:tc>
          <w:tcPr>
            <w:tcW w:type="dxa" w:w="6500"/>
            <w:shd w:fill="F2EFE9" w:val="clear"/>
            <w:tcMar>
              <w:top w:type="dxa" w:w="80"/>
              <w:left w:type="dxa" w:w="100"/>
              <w:bottom w:type="dxa" w:w="80"/>
              <w:right w:type="dxa" w:w="100"/>
            </w:tcMar>
          </w:tcPr>
          <w:p>
            <w:pPr>
              <w:jc w:val="left"/>
            </w:pPr>
            <w:r>
              <w:rPr>
                <w:b w:val="false"/>
                <w:bCs w:val="false"/>
                <w:color w:val="000000"/>
              </w:rPr>
              <w:t xml:space="preserve">Perubahan atas PP 55/2022 — dasar hukum tarif PPh Final 0,5% &amp; kriteria subjek pajak terbaru.</w:t>
            </w:r>
          </w:p>
        </w:tc>
      </w:tr>
      <w:tr>
        <w:tc>
          <w:tcPr>
            <w:tcW w:type="dxa" w:w="2600"/>
            <w:shd w:fill="FFFFFF" w:val="clear"/>
            <w:tcMar>
              <w:top w:type="dxa" w:w="80"/>
              <w:left w:type="dxa" w:w="100"/>
              <w:bottom w:type="dxa" w:w="80"/>
              <w:right w:type="dxa" w:w="100"/>
            </w:tcMar>
          </w:tcPr>
          <w:p>
            <w:pPr>
              <w:jc w:val="left"/>
            </w:pPr>
            <w:r>
              <w:rPr>
                <w:b/>
                <w:bCs/>
                <w:color w:val="000000"/>
              </w:rPr>
              <w:t xml:space="preserve">PMK 164/2023</w:t>
            </w:r>
          </w:p>
        </w:tc>
        <w:tc>
          <w:tcPr>
            <w:tcW w:type="dxa" w:w="6500"/>
            <w:shd w:fill="FFFFFF" w:val="clear"/>
            <w:tcMar>
              <w:top w:type="dxa" w:w="80"/>
              <w:left w:type="dxa" w:w="100"/>
              <w:bottom w:type="dxa" w:w="80"/>
              <w:right w:type="dxa" w:w="100"/>
            </w:tcMar>
          </w:tcPr>
          <w:p>
            <w:pPr>
              <w:jc w:val="left"/>
            </w:pPr>
            <w:r>
              <w:rPr>
                <w:b w:val="false"/>
                <w:bCs w:val="false"/>
                <w:color w:val="000000"/>
              </w:rPr>
              <w:t xml:space="preserve">Ketentuan teknis pelaksanaan PPh Final bagi WP dengan peredaran bruto tertentu.</w:t>
            </w:r>
          </w:p>
        </w:tc>
      </w:tr>
      <w:tr>
        <w:tc>
          <w:tcPr>
            <w:tcW w:type="dxa" w:w="2600"/>
            <w:shd w:fill="F2EFE9" w:val="clear"/>
            <w:tcMar>
              <w:top w:type="dxa" w:w="80"/>
              <w:left w:type="dxa" w:w="100"/>
              <w:bottom w:type="dxa" w:w="80"/>
              <w:right w:type="dxa" w:w="100"/>
            </w:tcMar>
          </w:tcPr>
          <w:p>
            <w:pPr>
              <w:jc w:val="left"/>
            </w:pPr>
            <w:r>
              <w:rPr>
                <w:b/>
                <w:bCs/>
                <w:color w:val="000000"/>
              </w:rPr>
              <w:t xml:space="preserve">PMK 111/2014 s.t.d.d. PMK 175/2022</w:t>
            </w:r>
          </w:p>
        </w:tc>
        <w:tc>
          <w:tcPr>
            <w:tcW w:type="dxa" w:w="6500"/>
            <w:shd w:fill="F2EFE9" w:val="clear"/>
            <w:tcMar>
              <w:top w:type="dxa" w:w="80"/>
              <w:left w:type="dxa" w:w="100"/>
              <w:bottom w:type="dxa" w:w="80"/>
              <w:right w:type="dxa" w:w="100"/>
            </w:tcMar>
          </w:tcPr>
          <w:p>
            <w:pPr>
              <w:jc w:val="left"/>
            </w:pPr>
            <w:r>
              <w:rPr>
                <w:b w:val="false"/>
                <w:bCs w:val="false"/>
                <w:color w:val="000000"/>
              </w:rPr>
              <w:t xml:space="preserve">Ketentuan Konsultan Pajak — dasar batasan lingkup produk agar tidak masuk kategori jasa konsultasi berizin.</w:t>
            </w:r>
          </w:p>
        </w:tc>
      </w:tr>
      <w:tr>
        <w:tc>
          <w:tcPr>
            <w:tcW w:type="dxa" w:w="2600"/>
            <w:shd w:fill="FFFFFF" w:val="clear"/>
            <w:tcMar>
              <w:top w:type="dxa" w:w="80"/>
              <w:left w:type="dxa" w:w="100"/>
              <w:bottom w:type="dxa" w:w="80"/>
              <w:right w:type="dxa" w:w="100"/>
            </w:tcMar>
          </w:tcPr>
          <w:p>
            <w:pPr>
              <w:jc w:val="left"/>
            </w:pPr>
            <w:r>
              <w:rPr>
                <w:b/>
                <w:bCs/>
                <w:color w:val="000000"/>
              </w:rPr>
              <w:t xml:space="preserve">PER-5/PJ/2025</w:t>
            </w:r>
          </w:p>
        </w:tc>
        <w:tc>
          <w:tcPr>
            <w:tcW w:type="dxa" w:w="6500"/>
            <w:shd w:fill="FFFFFF" w:val="clear"/>
            <w:tcMar>
              <w:top w:type="dxa" w:w="80"/>
              <w:left w:type="dxa" w:w="100"/>
              <w:bottom w:type="dxa" w:w="80"/>
              <w:right w:type="dxa" w:w="100"/>
            </w:tcMar>
          </w:tcPr>
          <w:p>
            <w:pPr>
              <w:jc w:val="left"/>
            </w:pPr>
            <w:r>
              <w:rPr>
                <w:b w:val="false"/>
                <w:bCs w:val="false"/>
                <w:color w:val="000000"/>
              </w:rPr>
              <w:t xml:space="preserve">Ketentuan Penyedia Jasa Aplikasi Perpajakan (PJAP) — dasar model integrasi pelaporan/pembayaran pajak pihak ketiga.</w:t>
            </w:r>
          </w:p>
        </w:tc>
      </w:tr>
      <w:tr>
        <w:tc>
          <w:tcPr>
            <w:tcW w:type="dxa" w:w="2600"/>
            <w:shd w:fill="F2EFE9" w:val="clear"/>
            <w:tcMar>
              <w:top w:type="dxa" w:w="80"/>
              <w:left w:type="dxa" w:w="100"/>
              <w:bottom w:type="dxa" w:w="80"/>
              <w:right w:type="dxa" w:w="100"/>
            </w:tcMar>
          </w:tcPr>
          <w:p>
            <w:pPr>
              <w:jc w:val="left"/>
            </w:pPr>
            <w:r>
              <w:rPr>
                <w:b/>
                <w:bCs/>
                <w:color w:val="000000"/>
              </w:rPr>
              <w:t xml:space="preserve">PMK 81/2024</w:t>
            </w:r>
          </w:p>
        </w:tc>
        <w:tc>
          <w:tcPr>
            <w:tcW w:type="dxa" w:w="6500"/>
            <w:shd w:fill="F2EFE9" w:val="clear"/>
            <w:tcMar>
              <w:top w:type="dxa" w:w="80"/>
              <w:left w:type="dxa" w:w="100"/>
              <w:bottom w:type="dxa" w:w="80"/>
              <w:right w:type="dxa" w:w="100"/>
            </w:tcMar>
          </w:tcPr>
          <w:p>
            <w:pPr>
              <w:jc w:val="left"/>
            </w:pPr>
            <w:r>
              <w:rPr>
                <w:b w:val="false"/>
                <w:bCs w:val="false"/>
                <w:color w:val="000000"/>
              </w:rPr>
              <w:t xml:space="preserve">Implementasi Coretax Administration System (CTAS).</w:t>
            </w:r>
          </w:p>
        </w:tc>
      </w:tr>
    </w:tbl>
    <w:p>
      <w:r>
        <w:br w:type="page"/>
      </w:r>
    </w:p>
    <w:p>
      <w:pPr>
        <w:pStyle w:val="Heading1"/>
        <w:spacing w:after="200" w:before="400"/>
      </w:pPr>
      <w:r>
        <w:rPr>
          <w:b/>
          <w:bCs/>
          <w:color w:val="1F2A44"/>
        </w:rPr>
        <w:t xml:space="preserve">3. Pemangku Kepentingan (Stakeholders)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6200"/>
      </w:tblGrid>
      <w:tr>
        <w:tc>
          <w:tcPr>
            <w:tcW w:type="dxa" w:w="2900"/>
            <w:shd w:fill="F2EFE9" w:val="clear"/>
            <w:tcMar>
              <w:top w:type="dxa" w:w="80"/>
              <w:left w:type="dxa" w:w="100"/>
              <w:bottom w:type="dxa" w:w="80"/>
              <w:right w:type="dxa" w:w="100"/>
            </w:tcMar>
          </w:tcPr>
          <w:p>
            <w:pPr>
              <w:jc w:val="left"/>
            </w:pPr>
            <w:r>
              <w:rPr>
                <w:b/>
                <w:bCs/>
                <w:color w:val="000000"/>
              </w:rPr>
              <w:t xml:space="preserve">Pemilik Produk / Product Owner</w:t>
            </w:r>
          </w:p>
        </w:tc>
        <w:tc>
          <w:tcPr>
            <w:tcW w:type="dxa" w:w="6200"/>
            <w:shd w:fill="F2EFE9" w:val="clear"/>
            <w:tcMar>
              <w:top w:type="dxa" w:w="80"/>
              <w:left w:type="dxa" w:w="100"/>
              <w:bottom w:type="dxa" w:w="80"/>
              <w:right w:type="dxa" w:w="100"/>
            </w:tcMar>
          </w:tcPr>
          <w:p>
            <w:pPr>
              <w:jc w:val="left"/>
            </w:pPr>
            <w:r>
              <w:rPr>
                <w:b w:val="false"/>
                <w:bCs w:val="false"/>
                <w:color w:val="000000"/>
              </w:rPr>
              <w:t xml:space="preserve">Menentukan visi produk, prioritas fitur, dan keputusan bisnis. (Nasrullah)</w:t>
            </w:r>
          </w:p>
        </w:tc>
      </w:tr>
      <w:tr>
        <w:tc>
          <w:tcPr>
            <w:tcW w:type="dxa" w:w="2900"/>
            <w:shd w:fill="FFFFFF" w:val="clear"/>
            <w:tcMar>
              <w:top w:type="dxa" w:w="80"/>
              <w:left w:type="dxa" w:w="100"/>
              <w:bottom w:type="dxa" w:w="80"/>
              <w:right w:type="dxa" w:w="100"/>
            </w:tcMar>
          </w:tcPr>
          <w:p>
            <w:pPr>
              <w:jc w:val="left"/>
            </w:pPr>
            <w:r>
              <w:rPr>
                <w:b/>
                <w:bCs/>
                <w:color w:val="000000"/>
              </w:rPr>
              <w:t xml:space="preserve">Pemilik UMKM (Klien)</w:t>
            </w:r>
          </w:p>
        </w:tc>
        <w:tc>
          <w:tcPr>
            <w:tcW w:type="dxa" w:w="6200"/>
            <w:shd w:fill="FFFFFF" w:val="clear"/>
            <w:tcMar>
              <w:top w:type="dxa" w:w="80"/>
              <w:left w:type="dxa" w:w="100"/>
              <w:bottom w:type="dxa" w:w="80"/>
              <w:right w:type="dxa" w:w="100"/>
            </w:tcMar>
          </w:tcPr>
          <w:p>
            <w:pPr>
              <w:jc w:val="left"/>
            </w:pPr>
            <w:r>
              <w:rPr>
                <w:b w:val="false"/>
                <w:bCs w:val="false"/>
                <w:color w:val="000000"/>
              </w:rPr>
              <w:t xml:space="preserve">Pengguna akhir utama — pemilik usaha yang mengelola profil bisnis dan pembukuan.</w:t>
            </w:r>
          </w:p>
        </w:tc>
      </w:tr>
      <w:tr>
        <w:tc>
          <w:tcPr>
            <w:tcW w:type="dxa" w:w="2900"/>
            <w:shd w:fill="F2EFE9" w:val="clear"/>
            <w:tcMar>
              <w:top w:type="dxa" w:w="80"/>
              <w:left w:type="dxa" w:w="100"/>
              <w:bottom w:type="dxa" w:w="80"/>
              <w:right w:type="dxa" w:w="100"/>
            </w:tcMar>
          </w:tcPr>
          <w:p>
            <w:pPr>
              <w:jc w:val="left"/>
            </w:pPr>
            <w:r>
              <w:rPr>
                <w:b/>
                <w:bCs/>
                <w:color w:val="000000"/>
              </w:rPr>
              <w:t xml:space="preserve">Staf UMKM</w:t>
            </w:r>
          </w:p>
        </w:tc>
        <w:tc>
          <w:tcPr>
            <w:tcW w:type="dxa" w:w="6200"/>
            <w:shd w:fill="F2EFE9" w:val="clear"/>
            <w:tcMar>
              <w:top w:type="dxa" w:w="80"/>
              <w:left w:type="dxa" w:w="100"/>
              <w:bottom w:type="dxa" w:w="80"/>
              <w:right w:type="dxa" w:w="100"/>
            </w:tcMar>
          </w:tcPr>
          <w:p>
            <w:pPr>
              <w:jc w:val="left"/>
            </w:pPr>
            <w:r>
              <w:rPr>
                <w:b w:val="false"/>
                <w:bCs w:val="false"/>
                <w:color w:val="000000"/>
              </w:rPr>
              <w:t xml:space="preserve">Pengguna pendukung — melakukan input transaksi harian atas otorisasi pemilik.</w:t>
            </w:r>
          </w:p>
        </w:tc>
      </w:tr>
      <w:tr>
        <w:tc>
          <w:tcPr>
            <w:tcW w:type="dxa" w:w="2900"/>
            <w:shd w:fill="FFFFFF" w:val="clear"/>
            <w:tcMar>
              <w:top w:type="dxa" w:w="80"/>
              <w:left w:type="dxa" w:w="100"/>
              <w:bottom w:type="dxa" w:w="80"/>
              <w:right w:type="dxa" w:w="100"/>
            </w:tcMar>
          </w:tcPr>
          <w:p>
            <w:pPr>
              <w:jc w:val="left"/>
            </w:pPr>
            <w:r>
              <w:rPr>
                <w:b/>
                <w:bCs/>
                <w:color w:val="000000"/>
              </w:rPr>
              <w:t xml:space="preserve">Calon Pelanggan UMKM</w:t>
            </w:r>
          </w:p>
        </w:tc>
        <w:tc>
          <w:tcPr>
            <w:tcW w:type="dxa" w:w="6200"/>
            <w:shd w:fill="FFFFFF" w:val="clear"/>
            <w:tcMar>
              <w:top w:type="dxa" w:w="80"/>
              <w:left w:type="dxa" w:w="100"/>
              <w:bottom w:type="dxa" w:w="80"/>
              <w:right w:type="dxa" w:w="100"/>
            </w:tcMar>
          </w:tcPr>
          <w:p>
            <w:pPr>
              <w:jc w:val="left"/>
            </w:pPr>
            <w:r>
              <w:rPr>
                <w:b w:val="false"/>
                <w:bCs w:val="false"/>
                <w:color w:val="000000"/>
              </w:rPr>
              <w:t xml:space="preserve">Pengunjung halaman profil publik — tidak memiliki akses ke aplikasi akuntansi.</w:t>
            </w:r>
          </w:p>
        </w:tc>
      </w:tr>
      <w:tr>
        <w:tc>
          <w:tcPr>
            <w:tcW w:type="dxa" w:w="2900"/>
            <w:shd w:fill="F2EFE9" w:val="clear"/>
            <w:tcMar>
              <w:top w:type="dxa" w:w="80"/>
              <w:left w:type="dxa" w:w="100"/>
              <w:bottom w:type="dxa" w:w="80"/>
              <w:right w:type="dxa" w:w="100"/>
            </w:tcMar>
          </w:tcPr>
          <w:p>
            <w:pPr>
              <w:jc w:val="left"/>
            </w:pPr>
            <w:r>
              <w:rPr>
                <w:b/>
                <w:bCs/>
                <w:color w:val="000000"/>
              </w:rPr>
              <w:t xml:space="preserve">Mitra PJAP</w:t>
            </w:r>
          </w:p>
        </w:tc>
        <w:tc>
          <w:tcPr>
            <w:tcW w:type="dxa" w:w="6200"/>
            <w:shd w:fill="F2EFE9" w:val="clear"/>
            <w:tcMar>
              <w:top w:type="dxa" w:w="80"/>
              <w:left w:type="dxa" w:w="100"/>
              <w:bottom w:type="dxa" w:w="80"/>
              <w:right w:type="dxa" w:w="100"/>
            </w:tcMar>
          </w:tcPr>
          <w:p>
            <w:pPr>
              <w:jc w:val="left"/>
            </w:pPr>
            <w:r>
              <w:rPr>
                <w:b w:val="false"/>
                <w:bCs w:val="false"/>
                <w:color w:val="000000"/>
              </w:rPr>
              <w:t xml:space="preserve">Penyedia integrasi pelaporan/pembayaran pajak resmi DJP.</w:t>
            </w:r>
          </w:p>
        </w:tc>
      </w:tr>
      <w:tr>
        <w:tc>
          <w:tcPr>
            <w:tcW w:type="dxa" w:w="2900"/>
            <w:shd w:fill="FFFFFF" w:val="clear"/>
            <w:tcMar>
              <w:top w:type="dxa" w:w="80"/>
              <w:left w:type="dxa" w:w="100"/>
              <w:bottom w:type="dxa" w:w="80"/>
              <w:right w:type="dxa" w:w="100"/>
            </w:tcMar>
          </w:tcPr>
          <w:p>
            <w:pPr>
              <w:jc w:val="left"/>
            </w:pPr>
            <w:r>
              <w:rPr>
                <w:b/>
                <w:bCs/>
                <w:color w:val="000000"/>
              </w:rPr>
              <w:t xml:space="preserve">Bank/Lembaga Pembiayaan</w:t>
            </w:r>
          </w:p>
        </w:tc>
        <w:tc>
          <w:tcPr>
            <w:tcW w:type="dxa" w:w="6200"/>
            <w:shd w:fill="FFFFFF" w:val="clear"/>
            <w:tcMar>
              <w:top w:type="dxa" w:w="80"/>
              <w:left w:type="dxa" w:w="100"/>
              <w:bottom w:type="dxa" w:w="80"/>
              <w:right w:type="dxa" w:w="100"/>
            </w:tcMar>
          </w:tcPr>
          <w:p>
            <w:pPr>
              <w:jc w:val="left"/>
            </w:pPr>
            <w:r>
              <w:rPr>
                <w:b w:val="false"/>
                <w:bCs w:val="false"/>
                <w:color w:val="000000"/>
              </w:rPr>
              <w:t xml:space="preserve">Pihak eksternal yang menerima laporan keuangan sebagai bagian pengajuan pembiayaan.</w:t>
            </w:r>
          </w:p>
        </w:tc>
      </w:tr>
    </w:tbl>
    <w:p>
      <w:r>
        <w:br w:type="page"/>
      </w:r>
    </w:p>
    <w:p>
      <w:pPr>
        <w:pStyle w:val="Heading1"/>
        <w:spacing w:after="200" w:before="400"/>
      </w:pPr>
      <w:r>
        <w:rPr>
          <w:b/>
          <w:bCs/>
          <w:color w:val="1F2A44"/>
        </w:rPr>
        <w:t xml:space="preserve">4. Kebutuhan Bisnis per Modul</w:t>
      </w:r>
    </w:p>
    <w:p>
      <w:pPr>
        <w:spacing w:after="160" w:line="300"/>
      </w:pPr>
      <w:r>
        <w:t xml:space="preserve">Kebutuhan bisnis dikelompokkan per modul fungsional. Setiap kebutuhan memiliki ID unik untuk ditelusuri (traceability) hingga ke SRS dan backlog implementasi. Prioritas: M = Must have, S = Should have, C = Could have.</w:t>
      </w:r>
    </w:p>
    <w:p>
      <w:pPr>
        <w:pStyle w:val="Heading2"/>
        <w:spacing w:after="150" w:before="300"/>
      </w:pPr>
      <w:r>
        <w:rPr>
          <w:b/>
          <w:bCs/>
          <w:color w:val="1F2A44"/>
        </w:rPr>
        <w:t xml:space="preserve">4.1 Modul A — Halaman Profil Bisnis Premium (Publik)</w:t>
      </w:r>
    </w:p>
    <w:p>
      <w:pPr>
        <w:spacing w:after="160" w:line="300"/>
      </w:pPr>
      <w:r>
        <w:rPr>
          <w:i/>
          <w:iCs/>
          <w:color w:val="5B5F66"/>
        </w:rPr>
        <w:t xml:space="preserve">Halaman publik tanpa autentikasi, berfungsi sebagai etalase digital resmi UMKM.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BR-A-01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halaman landing profil usaha: nama usaha, logo, tagline, deskripsi singkat.</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BR-A-02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halaman "Tentang Kami" berisi cerita/sejarah usaha.</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BR-A-03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katalog produk/jasa (nama, foto, deskripsi, harga opsional ditampilkan).</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BR-A-04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galeri foto usaha (tempat usaha, produk, kegiatan).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BR-A-05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menampilkan testimoni pelanggan yang dapat dikelola admin.</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BR-A-06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tombol kontak langsung (WhatsApp) dan/atau formulir kontak.</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BR-A-07</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mendukung SEO dasar: meta title/description, sitemap.xml, robots.txt.</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BR-A-08</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mendukung konfigurasi domain kustom milik klien dengan penerbitan SSL otomatis.</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BR-A-09</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memisahkan tegas halaman publik dari aplikasi akuntansi yang memerlukan autentikasi.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BR-A-10</w:t>
            </w:r>
          </w:p>
        </w:tc>
        <w:tc>
          <w:tcPr>
            <w:tcW w:type="dxa" w:w="6800"/>
            <w:shd w:fill="FFFFFF" w:val="clear"/>
            <w:tcMar>
              <w:top w:type="dxa" w:w="80"/>
              <w:left w:type="dxa" w:w="100"/>
              <w:bottom w:type="dxa" w:w="80"/>
              <w:right w:type="dxa" w:w="100"/>
            </w:tcMar>
          </w:tcPr>
          <w:p>
            <w:pPr>
              <w:jc w:val="left"/>
            </w:pPr>
            <w:r>
              <w:rPr>
                <w:b w:val="false"/>
                <w:bCs w:val="false"/>
                <w:color w:val="000000"/>
              </w:rPr>
              <w:t xml:space="preserve">Admin harus dapat mengubah tema warna, logo, dan font halaman profil melalui panel konfigurasi.</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bl>
    <w:p>
      <w:pPr>
        <w:spacing w:after="300"/>
      </w:pPr>
    </w:p>
    <w:p>
      <w:pPr>
        <w:pStyle w:val="Heading2"/>
        <w:spacing w:after="150" w:before="300"/>
      </w:pPr>
      <w:r>
        <w:rPr>
          <w:b/>
          <w:bCs/>
          <w:color w:val="1F2A44"/>
        </w:rPr>
        <w:t xml:space="preserve">4.2 Modul B1 — Identitas Usaha</w:t>
      </w:r>
    </w:p>
    <w:p>
      <w:pPr>
        <w:spacing w:after="160" w:line="300"/>
      </w:pPr>
      <w:r>
        <w:rPr>
          <w:i/>
          <w:iCs/>
          <w:color w:val="5B5F66"/>
        </w:rPr>
        <w:t xml:space="preserve">Data identitas legal usaha sebagai fondasi seluruh logika perpajakan dan pelaporan.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BR-B1-01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menyimpan identitas usaha lengkap: nama usaha, pemilik, NPWP, NIB, alamat usaha &amp; domisili.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BR-B1-02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mencatat bentuk badan usaha (OP/PT Perorangan/CV/Firma/Koperasi/PT non-perorangan) sebagai penentu logika pajak.</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BR-B1-03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menyimpan Kode Klasifikasi Lapangan Usaha (KLU) sesuai standar DJP.</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BR-B1-04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menyimpan status Pengusaha Kena Pajak (PKP) dan tanggal pengukuhan (jika berlaku).</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BR-B1-05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menyimpan data anggota keluarga pemilik untuk keperluan agregasi omzet sesuai PP 20/2026.</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BR-B1-06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menyimpan data entitas usaha lain milik pemilik yang sama untuk agregasi omzet gabungan.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BR-B1-07</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wizard onboarding bertahap untuk pengisian identitas usaha pertama kali.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BR-B1-08</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memvalidasi format NPWP 16 digit (format Coretax) dan NIK.</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bl>
    <w:p>
      <w:pPr>
        <w:spacing w:after="300"/>
      </w:pPr>
    </w:p>
    <w:p>
      <w:pPr>
        <w:pStyle w:val="Heading2"/>
        <w:spacing w:after="150" w:before="300"/>
      </w:pPr>
      <w:r>
        <w:rPr>
          <w:b/>
          <w:bCs/>
          <w:color w:val="1F2A44"/>
        </w:rPr>
        <w:t xml:space="preserve">4.3 Modul B2 — Master Data</w:t>
      </w:r>
    </w:p>
    <w:p>
      <w:pPr>
        <w:spacing w:after="160" w:line="300"/>
      </w:pPr>
      <w:r>
        <w:rPr>
          <w:i/>
          <w:iCs/>
          <w:color w:val="5B5F66"/>
        </w:rPr>
        <w:t xml:space="preserve">Data acuan yang digunakan berulang oleh seluruh modul transaksi dan laporan.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BR-B2-01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Chart of Accounts (COA) standar UMKM siap pakai dan dapat disesuaikan.</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BR-B2-02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master data produk/jasa (nama, kategori, satuan, harga jual, HPP dasar).</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BR-B2-03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master data pelanggan beserta riwayat transaksi.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BR-B2-04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master data pemasok/vendor.</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BR-B2-05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master data karyawan untuk keperluan payroll dasar &amp; PPh 21.</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BR-B2-06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master data aset tetap (nilai, tanggal perolehan, metode &amp; umur penyusutan).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BR-B2-07</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master data rekening bank/kas/e-wallet usaha.</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BR-B2-08</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mendukung impor master data dari berkas CSV/Excel.</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C</w:t>
            </w:r>
          </w:p>
        </w:tc>
      </w:tr>
    </w:tbl>
    <w:p>
      <w:pPr>
        <w:spacing w:after="300"/>
      </w:pPr>
    </w:p>
    <w:p>
      <w:pPr>
        <w:pStyle w:val="Heading2"/>
        <w:spacing w:after="150" w:before="300"/>
      </w:pPr>
      <w:r>
        <w:rPr>
          <w:b/>
          <w:bCs/>
          <w:color w:val="1F2A44"/>
        </w:rPr>
        <w:t xml:space="preserve">4.4 Modul B3 — Transaksi Harian (Bahasa Awam)</w:t>
      </w:r>
    </w:p>
    <w:p>
      <w:pPr>
        <w:spacing w:after="160" w:line="300"/>
      </w:pPr>
      <w:r>
        <w:rPr>
          <w:i/>
          <w:iCs/>
          <w:color w:val="5B5F66"/>
        </w:rPr>
        <w:t xml:space="preserve">Pencatatan transaksi sehari-hari dibungkus wizard non-teknis, menerjemahkan otomatis ke jurnal akuntansi berstandar double-entry.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BR-B3-01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wizard transaksi bahasa awam ("Jual Barang/Jasa", "Terima Pembayaran", "Beli Bahan", "Bayar Biaya", "Setor/Tarik Kas Pemilik").</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BR-B3-02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menerjemahkan input wizard menjadi jurnal double-entry otomatis tanpa mengharuskan pemahaman debit/kredit.</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BR-B3-03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mendukung transaksi kas, non-tunai (transfer/QRIS), dan berjangka (hutang/piutang).</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BR-B3-04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mendukung pencatatan transaksi rutin/berulang (recurring).</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BR-B3-05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mendukung lampiran bukti transaksi (foto struk/invoice) pada setiap entri.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BR-B3-06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mendukung pembuatan invoice/kwitansi penjualan yang dapat dicetak/dikirim.</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BR-B3-07</w:t>
            </w:r>
          </w:p>
        </w:tc>
        <w:tc>
          <w:tcPr>
            <w:tcW w:type="dxa" w:w="6800"/>
            <w:shd w:fill="F2EFE9" w:val="clear"/>
            <w:tcMar>
              <w:top w:type="dxa" w:w="80"/>
              <w:left w:type="dxa" w:w="100"/>
              <w:bottom w:type="dxa" w:w="80"/>
              <w:right w:type="dxa" w:w="100"/>
            </w:tcMar>
          </w:tcPr>
          <w:p>
            <w:pPr>
              <w:jc w:val="left"/>
            </w:pPr>
            <w:r>
              <w:rPr>
                <w:b w:val="false"/>
                <w:bCs w:val="false"/>
                <w:color w:val="000000"/>
              </w:rPr>
              <w:t xml:space="preserve">Jurnal yang telah diposting harus bersifat immutable; koreksi hanya melalui jurnal penyesuaian/pembalik.</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BR-B3-08</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mencatat jejak audit (pembuat, waktu, perubahan) untuk setiap transaksi.</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bl>
    <w:p>
      <w:pPr>
        <w:spacing w:after="300"/>
      </w:pPr>
    </w:p>
    <w:p>
      <w:pPr>
        <w:pStyle w:val="Heading2"/>
        <w:spacing w:after="150" w:before="300"/>
      </w:pPr>
      <w:r>
        <w:rPr>
          <w:b/>
          <w:bCs/>
          <w:color w:val="1F2A44"/>
        </w:rPr>
        <w:t xml:space="preserve">4.5 Modul B4 — Laporan Keuangan</w:t>
      </w:r>
    </w:p>
    <w:p>
      <w:pPr>
        <w:spacing w:after="160" w:line="300"/>
      </w:pPr>
      <w:r>
        <w:rPr>
          <w:i/>
          <w:iCs/>
          <w:color w:val="5B5F66"/>
        </w:rPr>
        <w:t xml:space="preserve">Laporan keuangan standar yang dihasilkan otomatis dari transaksi yang telah diposting.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BR-B4-01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menghasilkan Laporan Posisi Keuangan (Neraca) otomatis.</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BR-B4-02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menghasilkan Laporan Laba Rugi periode bulanan, kuartalan, dan tahunan.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BR-B4-03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menghasilkan Laporan Arus Kas.</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BR-B4-04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menghasilkan Laporan Perubahan Modal.</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BR-B4-05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menghasilkan Catatan atas Laporan Keuangan (CALK) ringkas otomatis.</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BR-B4-06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mendukung ekspor seluruh laporan ke format PDF dan Excel.</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BR-B4-07</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format laporan yang sesuai untuk pengajuan KUR/pinjaman bank.</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BR-B4-08</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menyediakan dashboard ringkasan keuangan (kas, laba, piutang/hutang jatuh tempo).</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bl>
    <w:p>
      <w:pPr>
        <w:spacing w:after="300"/>
      </w:pPr>
    </w:p>
    <w:p>
      <w:pPr>
        <w:pStyle w:val="Heading2"/>
        <w:spacing w:after="150" w:before="300"/>
      </w:pPr>
      <w:r>
        <w:rPr>
          <w:b/>
          <w:bCs/>
          <w:color w:val="1F2A44"/>
        </w:rPr>
        <w:t xml:space="preserve">4.6 Modul B5 — Perpajakan</w:t>
      </w:r>
    </w:p>
    <w:p>
      <w:pPr>
        <w:spacing w:after="160" w:line="300"/>
      </w:pPr>
      <w:r>
        <w:rPr>
          <w:i/>
          <w:iCs/>
          <w:color w:val="5B5F66"/>
        </w:rPr>
        <w:t xml:space="preserve">Kalkulasi dan kepatuhan pajak otomatis berbasis aturan yang berlaku, tanpa memberikan opini/nasihat perpajakan personal.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BR-B5-01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menghitung PPh Final 0,5% otomatis atas omzet bulanan sesuai PP 20/2026 untuk WP OP, PT Perorangan, dan Koperasi.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BR-B5-02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menerapkan pengecualian omzet sampai Rp500.000.000/tahun (tidak dikenai pajak) khusus WP OP.</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BR-B5-03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memonitor ambang omzet Rp4.800.000.000/tahun dan memberi peringatan saat mendekati/melewatinya.</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BR-B5-04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mengagregasi omzet lintas entitas usaha &amp; anggota keluarga terkait sesuai ketentuan anti-penghindaran PP 20/2026.</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BR-B5-05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mendeteksi &amp; memberi peringatan saat badan usaha (CV/Firma/PT non-perorangan) perlu transisi ke PPh Pasal 17.</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BR-B5-06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menghasilkan draf SPT Masa &amp; SPT Tahunan dalam format siap pelaporan (dokumen elektronik/impor Coretax).</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BR-B5-07</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mengintegrasikan pembuatan kode billing/e-billing melalui API PJAP mitra pihak ketiga.</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BR-B5-08</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menghitung PPN keluaran/masukan otomatis bagi usaha berstatus PKP.</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BR-B5-09</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menyediakan kalender kepatuhan pajak dengan pengingat jatuh tempo.</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BR-B5-10</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menghitung PPh Pasal 21 dasar bagi usaha yang memiliki karyawan.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C</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BR-B5-11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TIDAK BOLEH memberikan opini/nasihat perpajakan personal — hanya kalkulasi otomatis berbasis aturan berlaku.</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BR-B5-12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Parameter tarif &amp; ambang batas pajak harus dapat diperbarui melalui konfigurasi, tanpa mengubah kode inti.</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bl>
    <w:p>
      <w:pPr>
        <w:spacing w:after="300"/>
      </w:pPr>
    </w:p>
    <w:p>
      <w:pPr>
        <w:pStyle w:val="Heading2"/>
        <w:spacing w:after="150" w:before="300"/>
      </w:pPr>
      <w:r>
        <w:rPr>
          <w:b/>
          <w:bCs/>
          <w:color w:val="1F2A44"/>
        </w:rPr>
        <w:t xml:space="preserve">4.7 Modul B6 — Analisis Biaya</w:t>
      </w:r>
    </w:p>
    <w:p>
      <w:pPr>
        <w:spacing w:after="160" w:line="300"/>
      </w:pPr>
      <w:r>
        <w:rPr>
          <w:i/>
          <w:iCs/>
          <w:color w:val="5B5F66"/>
        </w:rPr>
        <w:t xml:space="preserve">Alat bantu pengambilan keputusan berbasis data biaya dan profitabilitas usaha.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BR-B6-01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menghitung Harga Pokok Penjualan/Produksi (HPP) per produk/jasa.</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BR-B6-02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menghitung margin kotor dan margin bersih per produk/jasa.</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BR-B6-03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menghitung titik impas (break-even point) usaha secara keseluruhan dan per produk.</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BR-B6-04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mendukung penyusunan anggaran (budget) dan perbandingan dengan realisasi.</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BR-B6-05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Sistem harus menampilkan tren biaya operasional bulanan dalam bentuk grafik.</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BR-B6-06</w:t>
            </w:r>
          </w:p>
        </w:tc>
        <w:tc>
          <w:tcPr>
            <w:tcW w:type="dxa" w:w="6800"/>
            <w:shd w:fill="FFFFFF" w:val="clear"/>
            <w:tcMar>
              <w:top w:type="dxa" w:w="80"/>
              <w:left w:type="dxa" w:w="100"/>
              <w:bottom w:type="dxa" w:w="80"/>
              <w:right w:type="dxa" w:w="100"/>
            </w:tcMar>
          </w:tcPr>
          <w:p>
            <w:pPr>
              <w:jc w:val="left"/>
            </w:pPr>
            <w:r>
              <w:rPr>
                <w:b w:val="false"/>
                <w:bCs w:val="false"/>
                <w:color w:val="000000"/>
              </w:rPr>
              <w:t xml:space="preserve">Sistem harus mengklasifikasikan biaya menjadi biaya tetap dan biaya variabel untuk analisis break-even.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w:t>
            </w:r>
          </w:p>
        </w:tc>
      </w:tr>
    </w:tbl>
    <w:p>
      <w:pPr>
        <w:spacing w:after="300"/>
      </w:pPr>
    </w:p>
    <w:p>
      <w:pPr>
        <w:pStyle w:val="Heading1"/>
        <w:spacing w:after="200" w:before="400"/>
      </w:pPr>
      <w:r>
        <w:rPr>
          <w:b/>
          <w:bCs/>
          <w:color w:val="1F2A44"/>
        </w:rPr>
        <w:t xml:space="preserve">5. Kebutuhan Non-Fungsional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2A44" w:val="clear"/>
            <w:tcMar>
              <w:top w:type="dxa" w:w="80"/>
              <w:left w:type="dxa" w:w="100"/>
              <w:bottom w:type="dxa" w:w="80"/>
              <w:right w:type="dxa" w:w="100"/>
            </w:tcMar>
          </w:tcPr>
          <w:p>
            <w:pPr>
              <w:jc w:val="left"/>
            </w:pPr>
            <w:r>
              <w:rPr>
                <w:b/>
                <w:bCs/>
                <w:color w:val="FFFFFF"/>
              </w:rPr>
              <w:t xml:space="preserve">ID</w:t>
            </w:r>
          </w:p>
        </w:tc>
        <w:tc>
          <w:tcPr>
            <w:tcW w:type="dxa" w:w="66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1100"/>
            <w:shd w:fill="F2EFE9" w:val="clear"/>
            <w:tcMar>
              <w:top w:type="dxa" w:w="80"/>
              <w:left w:type="dxa" w:w="100"/>
              <w:bottom w:type="dxa" w:w="80"/>
              <w:right w:type="dxa" w:w="100"/>
            </w:tcMar>
          </w:tcPr>
          <w:p>
            <w:pPr>
              <w:jc w:val="left"/>
            </w:pPr>
            <w:r>
              <w:rPr>
                <w:b w:val="false"/>
                <w:bCs w:val="false"/>
                <w:color w:val="000000"/>
              </w:rPr>
              <w:t xml:space="preserve">NFR-01</w:t>
            </w:r>
          </w:p>
        </w:tc>
        <w:tc>
          <w:tcPr>
            <w:tcW w:type="dxa" w:w="6600"/>
            <w:shd w:fill="F2EFE9" w:val="clear"/>
            <w:tcMar>
              <w:top w:type="dxa" w:w="80"/>
              <w:left w:type="dxa" w:w="100"/>
              <w:bottom w:type="dxa" w:w="80"/>
              <w:right w:type="dxa" w:w="100"/>
            </w:tcMar>
          </w:tcPr>
          <w:p>
            <w:pPr>
              <w:jc w:val="left"/>
            </w:pPr>
            <w:r>
              <w:rPr>
                <w:b w:val="false"/>
                <w:bCs w:val="false"/>
                <w:color w:val="000000"/>
              </w:rPr>
              <w:t xml:space="preserve">UI/UX harus mengikuti prinsip desain premium: tipografi custom, whitespace proporsional, micro-interaction — bukan tampilan template generik.</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FFFFF" w:val="clear"/>
            <w:tcMar>
              <w:top w:type="dxa" w:w="80"/>
              <w:left w:type="dxa" w:w="100"/>
              <w:bottom w:type="dxa" w:w="80"/>
              <w:right w:type="dxa" w:w="100"/>
            </w:tcMar>
          </w:tcPr>
          <w:p>
            <w:pPr>
              <w:jc w:val="left"/>
            </w:pPr>
            <w:r>
              <w:rPr>
                <w:b w:val="false"/>
                <w:bCs w:val="false"/>
                <w:color w:val="000000"/>
              </w:rPr>
              <w:t xml:space="preserve">NFR-02</w:t>
            </w:r>
          </w:p>
        </w:tc>
        <w:tc>
          <w:tcPr>
            <w:tcW w:type="dxa" w:w="6600"/>
            <w:shd w:fill="FFFFFF" w:val="clear"/>
            <w:tcMar>
              <w:top w:type="dxa" w:w="80"/>
              <w:left w:type="dxa" w:w="100"/>
              <w:bottom w:type="dxa" w:w="80"/>
              <w:right w:type="dxa" w:w="100"/>
            </w:tcMar>
          </w:tcPr>
          <w:p>
            <w:pPr>
              <w:jc w:val="left"/>
            </w:pPr>
            <w:r>
              <w:rPr>
                <w:b w:val="false"/>
                <w:bCs w:val="false"/>
                <w:color w:val="000000"/>
              </w:rPr>
              <w:t xml:space="preserve">Sistem harus responsif di perangkat desktop, tablet, dan mobile.</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2EFE9" w:val="clear"/>
            <w:tcMar>
              <w:top w:type="dxa" w:w="80"/>
              <w:left w:type="dxa" w:w="100"/>
              <w:bottom w:type="dxa" w:w="80"/>
              <w:right w:type="dxa" w:w="100"/>
            </w:tcMar>
          </w:tcPr>
          <w:p>
            <w:pPr>
              <w:jc w:val="left"/>
            </w:pPr>
            <w:r>
              <w:rPr>
                <w:b w:val="false"/>
                <w:bCs w:val="false"/>
                <w:color w:val="000000"/>
              </w:rPr>
              <w:t xml:space="preserve">NFR-03</w:t>
            </w:r>
          </w:p>
        </w:tc>
        <w:tc>
          <w:tcPr>
            <w:tcW w:type="dxa" w:w="6600"/>
            <w:shd w:fill="F2EFE9" w:val="clear"/>
            <w:tcMar>
              <w:top w:type="dxa" w:w="80"/>
              <w:left w:type="dxa" w:w="100"/>
              <w:bottom w:type="dxa" w:w="80"/>
              <w:right w:type="dxa" w:w="100"/>
            </w:tcMar>
          </w:tcPr>
          <w:p>
            <w:pPr>
              <w:jc w:val="left"/>
            </w:pPr>
            <w:r>
              <w:rPr>
                <w:b w:val="false"/>
                <w:bCs w:val="false"/>
                <w:color w:val="000000"/>
              </w:rPr>
              <w:t xml:space="preserve">Waktu muat halaman utama harus di bawah 2 detik pada koneksi 4G standar.</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w:t>
            </w:r>
          </w:p>
        </w:tc>
      </w:tr>
      <w:tr>
        <w:tc>
          <w:tcPr>
            <w:tcW w:type="dxa" w:w="1100"/>
            <w:shd w:fill="FFFFFF" w:val="clear"/>
            <w:tcMar>
              <w:top w:type="dxa" w:w="80"/>
              <w:left w:type="dxa" w:w="100"/>
              <w:bottom w:type="dxa" w:w="80"/>
              <w:right w:type="dxa" w:w="100"/>
            </w:tcMar>
          </w:tcPr>
          <w:p>
            <w:pPr>
              <w:jc w:val="left"/>
            </w:pPr>
            <w:r>
              <w:rPr>
                <w:b w:val="false"/>
                <w:bCs w:val="false"/>
                <w:color w:val="000000"/>
              </w:rPr>
              <w:t xml:space="preserve">NFR-04</w:t>
            </w:r>
          </w:p>
        </w:tc>
        <w:tc>
          <w:tcPr>
            <w:tcW w:type="dxa" w:w="6600"/>
            <w:shd w:fill="FFFFFF" w:val="clear"/>
            <w:tcMar>
              <w:top w:type="dxa" w:w="80"/>
              <w:left w:type="dxa" w:w="100"/>
              <w:bottom w:type="dxa" w:w="80"/>
              <w:right w:type="dxa" w:w="100"/>
            </w:tcMar>
          </w:tcPr>
          <w:p>
            <w:pPr>
              <w:jc w:val="left"/>
            </w:pPr>
            <w:r>
              <w:rPr>
                <w:b w:val="false"/>
                <w:bCs w:val="false"/>
                <w:color w:val="000000"/>
              </w:rPr>
              <w:t xml:space="preserve">Sistem harus menerapkan audit trail immutable (hash-chain) untuk seluruh transaksi keuangan.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2EFE9" w:val="clear"/>
            <w:tcMar>
              <w:top w:type="dxa" w:w="80"/>
              <w:left w:type="dxa" w:w="100"/>
              <w:bottom w:type="dxa" w:w="80"/>
              <w:right w:type="dxa" w:w="100"/>
            </w:tcMar>
          </w:tcPr>
          <w:p>
            <w:pPr>
              <w:jc w:val="left"/>
            </w:pPr>
            <w:r>
              <w:rPr>
                <w:b w:val="false"/>
                <w:bCs w:val="false"/>
                <w:color w:val="000000"/>
              </w:rPr>
              <w:t xml:space="preserve">NFR-05</w:t>
            </w:r>
          </w:p>
        </w:tc>
        <w:tc>
          <w:tcPr>
            <w:tcW w:type="dxa" w:w="6600"/>
            <w:shd w:fill="F2EFE9" w:val="clear"/>
            <w:tcMar>
              <w:top w:type="dxa" w:w="80"/>
              <w:left w:type="dxa" w:w="100"/>
              <w:bottom w:type="dxa" w:w="80"/>
              <w:right w:type="dxa" w:w="100"/>
            </w:tcMar>
          </w:tcPr>
          <w:p>
            <w:pPr>
              <w:jc w:val="left"/>
            </w:pPr>
            <w:r>
              <w:rPr>
                <w:b w:val="false"/>
                <w:bCs w:val="false"/>
                <w:color w:val="000000"/>
              </w:rPr>
              <w:t xml:space="preserve">Sistem harus mengenkripsi data sensitif (NPWP, data keuangan) saat disimpan (at-rest) dan saat transmisi (TLS).</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FFFFF" w:val="clear"/>
            <w:tcMar>
              <w:top w:type="dxa" w:w="80"/>
              <w:left w:type="dxa" w:w="100"/>
              <w:bottom w:type="dxa" w:w="80"/>
              <w:right w:type="dxa" w:w="100"/>
            </w:tcMar>
          </w:tcPr>
          <w:p>
            <w:pPr>
              <w:jc w:val="left"/>
            </w:pPr>
            <w:r>
              <w:rPr>
                <w:b w:val="false"/>
                <w:bCs w:val="false"/>
                <w:color w:val="000000"/>
              </w:rPr>
              <w:t xml:space="preserve">NFR-06</w:t>
            </w:r>
          </w:p>
        </w:tc>
        <w:tc>
          <w:tcPr>
            <w:tcW w:type="dxa" w:w="6600"/>
            <w:shd w:fill="FFFFFF" w:val="clear"/>
            <w:tcMar>
              <w:top w:type="dxa" w:w="80"/>
              <w:left w:type="dxa" w:w="100"/>
              <w:bottom w:type="dxa" w:w="80"/>
              <w:right w:type="dxa" w:w="100"/>
            </w:tcMar>
          </w:tcPr>
          <w:p>
            <w:pPr>
              <w:jc w:val="left"/>
            </w:pPr>
            <w:r>
              <w:rPr>
                <w:b w:val="false"/>
                <w:bCs w:val="false"/>
                <w:color w:val="000000"/>
              </w:rPr>
              <w:t xml:space="preserve">Sistem harus mendukung backup otomatis harian dan prosedur pemulihan data (disaster recovery).</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2EFE9" w:val="clear"/>
            <w:tcMar>
              <w:top w:type="dxa" w:w="80"/>
              <w:left w:type="dxa" w:w="100"/>
              <w:bottom w:type="dxa" w:w="80"/>
              <w:right w:type="dxa" w:w="100"/>
            </w:tcMar>
          </w:tcPr>
          <w:p>
            <w:pPr>
              <w:jc w:val="left"/>
            </w:pPr>
            <w:r>
              <w:rPr>
                <w:b w:val="false"/>
                <w:bCs w:val="false"/>
                <w:color w:val="000000"/>
              </w:rPr>
              <w:t xml:space="preserve">NFR-07</w:t>
            </w:r>
          </w:p>
        </w:tc>
        <w:tc>
          <w:tcPr>
            <w:tcW w:type="dxa" w:w="6600"/>
            <w:shd w:fill="F2EFE9" w:val="clear"/>
            <w:tcMar>
              <w:top w:type="dxa" w:w="80"/>
              <w:left w:type="dxa" w:w="100"/>
              <w:bottom w:type="dxa" w:w="80"/>
              <w:right w:type="dxa" w:w="100"/>
            </w:tcMar>
          </w:tcPr>
          <w:p>
            <w:pPr>
              <w:jc w:val="left"/>
            </w:pPr>
            <w:r>
              <w:rPr>
                <w:b w:val="false"/>
                <w:bCs w:val="false"/>
                <w:color w:val="000000"/>
              </w:rPr>
              <w:t xml:space="preserve">Sistem harus dapat di-deploy mandiri per klien melalui container dengan proses provisioning yang dapat direplikasi.</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FFFFF" w:val="clear"/>
            <w:tcMar>
              <w:top w:type="dxa" w:w="80"/>
              <w:left w:type="dxa" w:w="100"/>
              <w:bottom w:type="dxa" w:w="80"/>
              <w:right w:type="dxa" w:w="100"/>
            </w:tcMar>
          </w:tcPr>
          <w:p>
            <w:pPr>
              <w:jc w:val="left"/>
            </w:pPr>
            <w:r>
              <w:rPr>
                <w:b w:val="false"/>
                <w:bCs w:val="false"/>
                <w:color w:val="000000"/>
              </w:rPr>
              <w:t xml:space="preserve">NFR-08</w:t>
            </w:r>
          </w:p>
        </w:tc>
        <w:tc>
          <w:tcPr>
            <w:tcW w:type="dxa" w:w="6600"/>
            <w:shd w:fill="FFFFFF" w:val="clear"/>
            <w:tcMar>
              <w:top w:type="dxa" w:w="80"/>
              <w:left w:type="dxa" w:w="100"/>
              <w:bottom w:type="dxa" w:w="80"/>
              <w:right w:type="dxa" w:w="100"/>
            </w:tcMar>
          </w:tcPr>
          <w:p>
            <w:pPr>
              <w:jc w:val="left"/>
            </w:pPr>
            <w:r>
              <w:rPr>
                <w:b w:val="false"/>
                <w:bCs w:val="false"/>
                <w:color w:val="000000"/>
              </w:rPr>
              <w:t xml:space="preserve">Sistem harus mendukung konfigurasi domain kustom dengan penerbitan SSL otomatis per instalasi klien.</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2EFE9" w:val="clear"/>
            <w:tcMar>
              <w:top w:type="dxa" w:w="80"/>
              <w:left w:type="dxa" w:w="100"/>
              <w:bottom w:type="dxa" w:w="80"/>
              <w:right w:type="dxa" w:w="100"/>
            </w:tcMar>
          </w:tcPr>
          <w:p>
            <w:pPr>
              <w:jc w:val="left"/>
            </w:pPr>
            <w:r>
              <w:rPr>
                <w:b w:val="false"/>
                <w:bCs w:val="false"/>
                <w:color w:val="000000"/>
              </w:rPr>
              <w:t xml:space="preserve">NFR-09</w:t>
            </w:r>
          </w:p>
        </w:tc>
        <w:tc>
          <w:tcPr>
            <w:tcW w:type="dxa" w:w="6600"/>
            <w:shd w:fill="F2EFE9" w:val="clear"/>
            <w:tcMar>
              <w:top w:type="dxa" w:w="80"/>
              <w:left w:type="dxa" w:w="100"/>
              <w:bottom w:type="dxa" w:w="80"/>
              <w:right w:type="dxa" w:w="100"/>
            </w:tcMar>
          </w:tcPr>
          <w:p>
            <w:pPr>
              <w:jc w:val="left"/>
            </w:pPr>
            <w:r>
              <w:rPr>
                <w:b w:val="false"/>
                <w:bCs w:val="false"/>
                <w:color w:val="000000"/>
              </w:rPr>
              <w:t xml:space="preserve">Sistem harus tahan terhadap gangguan layanan pihak ketiga (Coretax/PJAP) melalui mekanisme retry &amp; fallback tanpa menghentikan pencatatan internal.</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M</w:t>
            </w:r>
          </w:p>
        </w:tc>
      </w:tr>
      <w:tr>
        <w:tc>
          <w:tcPr>
            <w:tcW w:type="dxa" w:w="1100"/>
            <w:shd w:fill="FFFFFF" w:val="clear"/>
            <w:tcMar>
              <w:top w:type="dxa" w:w="80"/>
              <w:left w:type="dxa" w:w="100"/>
              <w:bottom w:type="dxa" w:w="80"/>
              <w:right w:type="dxa" w:w="100"/>
            </w:tcMar>
          </w:tcPr>
          <w:p>
            <w:pPr>
              <w:jc w:val="left"/>
            </w:pPr>
            <w:r>
              <w:rPr>
                <w:b w:val="false"/>
                <w:bCs w:val="false"/>
                <w:color w:val="000000"/>
              </w:rPr>
              <w:t xml:space="preserve">NFR-10</w:t>
            </w:r>
          </w:p>
        </w:tc>
        <w:tc>
          <w:tcPr>
            <w:tcW w:type="dxa" w:w="6600"/>
            <w:shd w:fill="FFFFFF" w:val="clear"/>
            <w:tcMar>
              <w:top w:type="dxa" w:w="80"/>
              <w:left w:type="dxa" w:w="100"/>
              <w:bottom w:type="dxa" w:w="80"/>
              <w:right w:type="dxa" w:w="100"/>
            </w:tcMar>
          </w:tcPr>
          <w:p>
            <w:pPr>
              <w:jc w:val="left"/>
            </w:pPr>
            <w:r>
              <w:rPr>
                <w:b w:val="false"/>
                <w:bCs w:val="false"/>
                <w:color w:val="000000"/>
              </w:rPr>
              <w:t xml:space="preserve">Sistem harus mendukung minimal dua peran akses: Pemilik (penuh) dan Staf Input (terbatas), dengan pembatasan akses ke laporan sensitif.</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M</w:t>
            </w:r>
          </w:p>
        </w:tc>
      </w:tr>
    </w:tbl>
    <w:p>
      <w:r>
        <w:br w:type="page"/>
      </w:r>
    </w:p>
    <w:p>
      <w:pPr>
        <w:pStyle w:val="Heading1"/>
        <w:spacing w:after="200" w:before="400"/>
      </w:pPr>
      <w:r>
        <w:rPr>
          <w:b/>
          <w:bCs/>
          <w:color w:val="1F2A44"/>
        </w:rPr>
        <w:t xml:space="preserve">6. Asumsi &amp; Batasan</w:t>
      </w:r>
    </w:p>
    <w:p>
      <w:pPr>
        <w:pStyle w:val="Heading2"/>
        <w:spacing w:after="150" w:before="300"/>
      </w:pPr>
      <w:r>
        <w:rPr>
          <w:b/>
          <w:bCs/>
          <w:color w:val="1F2A44"/>
        </w:rPr>
        <w:t xml:space="preserve">6.1 Asumsi</w:t>
      </w:r>
    </w:p>
    <w:p>
      <w:pPr>
        <w:pStyle w:val="ListParagraph"/>
        <w:numPr>
          <w:ilvl w:val="0"/>
          <w:numId w:val="2"/>
        </w:numPr>
        <w:spacing w:after="80"/>
      </w:pPr>
      <w:r>
        <w:t xml:space="preserve">Klien (pemilik UMKM) bersedia menyediakan/mendaftarkan domain sendiri untuk halaman profil bisnisnya.</w:t>
      </w:r>
    </w:p>
    <w:p>
      <w:pPr>
        <w:pStyle w:val="ListParagraph"/>
        <w:numPr>
          <w:ilvl w:val="0"/>
          <w:numId w:val="2"/>
        </w:numPr>
        <w:spacing w:after="80"/>
      </w:pPr>
      <w:r>
        <w:t xml:space="preserve">Segmen awal yang disasar adalah WP OP dan PT Perorangan, sesuai kelompok yang mendapat kepastian hukum terbesar dari PP 20/2026.</w:t>
      </w:r>
    </w:p>
    <w:p>
      <w:pPr>
        <w:pStyle w:val="ListParagraph"/>
        <w:numPr>
          <w:ilvl w:val="0"/>
          <w:numId w:val="2"/>
        </w:numPr>
        <w:spacing w:after="80"/>
      </w:pPr>
      <w:r>
        <w:t xml:space="preserve">Integrasi pelaporan/pembayaran pajak bergantung pada ketersediaan dan stabilitas API PJAP mitra pihak ketiga.</w:t>
      </w:r>
    </w:p>
    <w:p>
      <w:pPr>
        <w:pStyle w:val="Heading2"/>
        <w:spacing w:after="150" w:before="300"/>
      </w:pPr>
      <w:r>
        <w:rPr>
          <w:b/>
          <w:bCs/>
          <w:color w:val="1F2A44"/>
        </w:rPr>
        <w:t xml:space="preserve">6.2 Batasan</w:t>
      </w:r>
    </w:p>
    <w:p>
      <w:pPr>
        <w:pStyle w:val="ListParagraph"/>
        <w:numPr>
          <w:ilvl w:val="0"/>
          <w:numId w:val="2"/>
        </w:numPr>
        <w:spacing w:after="80"/>
      </w:pPr>
      <w:r>
        <w:t xml:space="preserve">Produk tidak berstatus PJAP resmi pada fase awal; seluruh transaksi ke DJP dilakukan melalui mitra PJAP yang sudah ditunjuk resmi.</w:t>
      </w:r>
    </w:p>
    <w:p>
      <w:pPr>
        <w:pStyle w:val="ListParagraph"/>
        <w:numPr>
          <w:ilvl w:val="0"/>
          <w:numId w:val="2"/>
        </w:numPr>
        <w:spacing w:after="80"/>
      </w:pPr>
      <w:r>
        <w:t xml:space="preserve">Produk tidak menggantikan peran konsultan pajak berizin; posisi produk adalah alat bantu kepatuhan administratif.</w:t>
      </w:r>
    </w:p>
    <w:p>
      <w:pPr>
        <w:pStyle w:val="ListParagraph"/>
        <w:numPr>
          <w:ilvl w:val="0"/>
          <w:numId w:val="2"/>
        </w:numPr>
        <w:spacing w:after="80"/>
      </w:pPr>
      <w:r>
        <w:t xml:space="preserve">Setiap instalasi bersifat single-tenant; tidak ada data yang dibagikan/digabungkan antar klien.</w:t>
      </w:r>
    </w:p>
    <w:p>
      <w:pPr>
        <w:pStyle w:val="ListParagraph"/>
        <w:numPr>
          <w:ilvl w:val="0"/>
          <w:numId w:val="2"/>
        </w:numPr>
        <w:spacing w:after="80"/>
      </w:pPr>
      <w:r>
        <w:t xml:space="preserve">Regulasi perpajakan dapat berubah sewaktu-waktu (terbukti dua kali dalam 12 bulan terakhir); modul perpajakan dirancang configurable, bukan hardcoded.</w:t>
      </w:r>
    </w:p>
    <w:p>
      <w:r>
        <w:br w:type="page"/>
      </w:r>
    </w:p>
    <w:p>
      <w:pPr>
        <w:pStyle w:val="Heading1"/>
        <w:spacing w:after="200" w:before="400"/>
      </w:pPr>
      <w:r>
        <w:rPr>
          <w:b/>
          <w:bCs/>
          <w:color w:val="1F2A44"/>
        </w:rPr>
        <w:t xml:space="preserve">7. Risiko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rPr>
          <w:tblHeader/>
        </w:trPr>
        <w:tc>
          <w:tcPr>
            <w:tcW w:type="dxa" w:w="900"/>
            <w:shd w:fill="1F2A44" w:val="clear"/>
            <w:tcMar>
              <w:top w:type="dxa" w:w="80"/>
              <w:left w:type="dxa" w:w="100"/>
              <w:bottom w:type="dxa" w:w="80"/>
              <w:right w:type="dxa" w:w="100"/>
            </w:tcMar>
          </w:tcPr>
          <w:p>
            <w:pPr>
              <w:jc w:val="left"/>
            </w:pPr>
            <w:r>
              <w:rPr>
                <w:b/>
                <w:bCs/>
                <w:color w:val="FFFFFF"/>
              </w:rPr>
              <w:t xml:space="preserve">ID</w:t>
            </w:r>
          </w:p>
        </w:tc>
        <w:tc>
          <w:tcPr>
            <w:tcW w:type="dxa" w:w="6800"/>
            <w:shd w:fill="1F2A44" w:val="clear"/>
            <w:tcMar>
              <w:top w:type="dxa" w:w="80"/>
              <w:left w:type="dxa" w:w="100"/>
              <w:bottom w:type="dxa" w:w="80"/>
              <w:right w:type="dxa" w:w="100"/>
            </w:tcMar>
          </w:tcPr>
          <w:p>
            <w:pPr>
              <w:jc w:val="left"/>
            </w:pPr>
            <w:r>
              <w:rPr>
                <w:b/>
                <w:bCs/>
                <w:color w:val="FFFFFF"/>
              </w:rPr>
              <w:t xml:space="preserve">Kebutuhan Bisnis</w:t>
            </w:r>
          </w:p>
        </w:tc>
        <w:tc>
          <w:tcPr>
            <w:tcW w:type="dxa" w:w="1300"/>
            <w:shd w:fill="1F2A44" w:val="clear"/>
            <w:tcMar>
              <w:top w:type="dxa" w:w="80"/>
              <w:left w:type="dxa" w:w="100"/>
              <w:bottom w:type="dxa" w:w="80"/>
              <w:right w:type="dxa" w:w="100"/>
            </w:tcMar>
          </w:tcPr>
          <w:p>
            <w:pPr>
              <w:jc w:val="left"/>
            </w:pPr>
            <w:r>
              <w:rPr>
                <w:b/>
                <w:bCs/>
                <w:color w:val="FFFFFF"/>
              </w:rPr>
              <w:t xml:space="preserve">Prioritas</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R-01</w:t>
            </w:r>
          </w:p>
        </w:tc>
        <w:tc>
          <w:tcPr>
            <w:tcW w:type="dxa" w:w="6800"/>
            <w:shd w:fill="F2EFE9" w:val="clear"/>
            <w:tcMar>
              <w:top w:type="dxa" w:w="80"/>
              <w:left w:type="dxa" w:w="100"/>
              <w:bottom w:type="dxa" w:w="80"/>
              <w:right w:type="dxa" w:w="100"/>
            </w:tcMar>
          </w:tcPr>
          <w:p>
            <w:pPr>
              <w:jc w:val="left"/>
            </w:pPr>
            <w:r>
              <w:rPr>
                <w:b w:val="false"/>
                <w:bCs w:val="false"/>
                <w:color w:val="000000"/>
              </w:rPr>
              <w:t xml:space="preserve">Perubahan regulasi pajak yang cepat dapat membuat parameter kalkulasi usang jika tidak dipantau secara berkala.</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Tinggi</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R-02</w:t>
            </w:r>
          </w:p>
        </w:tc>
        <w:tc>
          <w:tcPr>
            <w:tcW w:type="dxa" w:w="6800"/>
            <w:shd w:fill="FFFFFF" w:val="clear"/>
            <w:tcMar>
              <w:top w:type="dxa" w:w="80"/>
              <w:left w:type="dxa" w:w="100"/>
              <w:bottom w:type="dxa" w:w="80"/>
              <w:right w:type="dxa" w:w="100"/>
            </w:tcMar>
          </w:tcPr>
          <w:p>
            <w:pPr>
              <w:jc w:val="left"/>
            </w:pPr>
            <w:r>
              <w:rPr>
                <w:b w:val="false"/>
                <w:bCs w:val="false"/>
                <w:color w:val="000000"/>
              </w:rPr>
              <w:t xml:space="preserve">Ketidakstabilan sistem Coretax DJP dapat mengganggu keandalan fitur pelaporan/pembayaran terintegrasi.</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Sedang</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R-03</w:t>
            </w:r>
          </w:p>
        </w:tc>
        <w:tc>
          <w:tcPr>
            <w:tcW w:type="dxa" w:w="6800"/>
            <w:shd w:fill="F2EFE9" w:val="clear"/>
            <w:tcMar>
              <w:top w:type="dxa" w:w="80"/>
              <w:left w:type="dxa" w:w="100"/>
              <w:bottom w:type="dxa" w:w="80"/>
              <w:right w:type="dxa" w:w="100"/>
            </w:tcMar>
          </w:tcPr>
          <w:p>
            <w:pPr>
              <w:jc w:val="left"/>
            </w:pPr>
            <w:r>
              <w:rPr>
                <w:b w:val="false"/>
                <w:bCs w:val="false"/>
                <w:color w:val="000000"/>
              </w:rPr>
              <w:t xml:space="preserve">Ekspektasi "UI/UX premium" bersifat subjektif; risiko revisi berulang tanpa moodboard/referensi visual yang disepakati sejak awal.</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Sedang</w:t>
            </w:r>
          </w:p>
        </w:tc>
      </w:tr>
      <w:tr>
        <w:tc>
          <w:tcPr>
            <w:tcW w:type="dxa" w:w="900"/>
            <w:shd w:fill="FFFFFF" w:val="clear"/>
            <w:tcMar>
              <w:top w:type="dxa" w:w="80"/>
              <w:left w:type="dxa" w:w="100"/>
              <w:bottom w:type="dxa" w:w="80"/>
              <w:right w:type="dxa" w:w="100"/>
            </w:tcMar>
          </w:tcPr>
          <w:p>
            <w:pPr>
              <w:jc w:val="left"/>
            </w:pPr>
            <w:r>
              <w:rPr>
                <w:b w:val="false"/>
                <w:bCs w:val="false"/>
                <w:color w:val="000000"/>
              </w:rPr>
              <w:t xml:space="preserve">R-04</w:t>
            </w:r>
          </w:p>
        </w:tc>
        <w:tc>
          <w:tcPr>
            <w:tcW w:type="dxa" w:w="6800"/>
            <w:shd w:fill="FFFFFF" w:val="clear"/>
            <w:tcMar>
              <w:top w:type="dxa" w:w="80"/>
              <w:left w:type="dxa" w:w="100"/>
              <w:bottom w:type="dxa" w:w="80"/>
              <w:right w:type="dxa" w:w="100"/>
            </w:tcMar>
          </w:tcPr>
          <w:p>
            <w:pPr>
              <w:jc w:val="left"/>
            </w:pPr>
            <w:r>
              <w:rPr>
                <w:b w:val="false"/>
                <w:bCs w:val="false"/>
                <w:color w:val="000000"/>
              </w:rPr>
              <w:t xml:space="preserve">Ketergantungan pada satu mitra PJAP tanpa alternatif dapat menghentikan fitur pelaporan jika mitra tersebut mengubah ketentuan kerja sama.</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Sedang</w:t>
            </w:r>
          </w:p>
        </w:tc>
      </w:tr>
      <w:tr>
        <w:tc>
          <w:tcPr>
            <w:tcW w:type="dxa" w:w="900"/>
            <w:shd w:fill="F2EFE9" w:val="clear"/>
            <w:tcMar>
              <w:top w:type="dxa" w:w="80"/>
              <w:left w:type="dxa" w:w="100"/>
              <w:bottom w:type="dxa" w:w="80"/>
              <w:right w:type="dxa" w:w="100"/>
            </w:tcMar>
          </w:tcPr>
          <w:p>
            <w:pPr>
              <w:jc w:val="left"/>
            </w:pPr>
            <w:r>
              <w:rPr>
                <w:b w:val="false"/>
                <w:bCs w:val="false"/>
                <w:color w:val="000000"/>
              </w:rPr>
              <w:t xml:space="preserve">R-05</w:t>
            </w:r>
          </w:p>
        </w:tc>
        <w:tc>
          <w:tcPr>
            <w:tcW w:type="dxa" w:w="6800"/>
            <w:shd w:fill="F2EFE9" w:val="clear"/>
            <w:tcMar>
              <w:top w:type="dxa" w:w="80"/>
              <w:left w:type="dxa" w:w="100"/>
              <w:bottom w:type="dxa" w:w="80"/>
              <w:right w:type="dxa" w:w="100"/>
            </w:tcMar>
          </w:tcPr>
          <w:p>
            <w:pPr>
              <w:jc w:val="left"/>
            </w:pPr>
            <w:r>
              <w:rPr>
                <w:b w:val="false"/>
                <w:bCs w:val="false"/>
                <w:color w:val="000000"/>
              </w:rPr>
              <w:t xml:space="preserve">Model deployment single-tenant per klien meningkatkan beban operasional (provisioning, pemeliharaan) dibanding SaaS terpusat saat jumlah klien bertambah.</w:t>
            </w:r>
          </w:p>
        </w:tc>
        <w:tc>
          <w:tcPr>
            <w:tcW w:type="dxa" w:w="1300"/>
            <w:shd w:fill="F2EFE9" w:val="clear"/>
            <w:tcMar>
              <w:top w:type="dxa" w:w="80"/>
              <w:left w:type="dxa" w:w="100"/>
              <w:bottom w:type="dxa" w:w="80"/>
              <w:right w:type="dxa" w:w="100"/>
            </w:tcMar>
          </w:tcPr>
          <w:p>
            <w:pPr>
              <w:jc w:val="center"/>
            </w:pPr>
            <w:r>
              <w:rPr>
                <w:b w:val="false"/>
                <w:bCs w:val="false"/>
                <w:color w:val="000000"/>
              </w:rPr>
              <w:t xml:space="preserve">Sedang</w:t>
            </w:r>
          </w:p>
        </w:tc>
      </w:tr>
    </w:tbl>
    <w:p>
      <w:r>
        <w:br w:type="page"/>
      </w:r>
    </w:p>
    <w:p>
      <w:pPr>
        <w:pStyle w:val="Heading1"/>
        <w:spacing w:after="200" w:before="400"/>
      </w:pPr>
      <w:r>
        <w:rPr>
          <w:b/>
          <w:bCs/>
          <w:color w:val="1F2A44"/>
        </w:rPr>
        <w:t xml:space="preserve">8. Lampiran</w:t>
      </w:r>
    </w:p>
    <w:p>
      <w:pPr>
        <w:pStyle w:val="Heading2"/>
        <w:spacing w:after="150" w:before="300"/>
      </w:pPr>
      <w:r>
        <w:rPr>
          <w:b/>
          <w:bCs/>
          <w:color w:val="1F2A44"/>
        </w:rPr>
        <w:t xml:space="preserve">8.1 Referensi Regulasi</w:t>
      </w:r>
    </w:p>
    <w:p>
      <w:pPr>
        <w:pStyle w:val="ListParagraph"/>
        <w:numPr>
          <w:ilvl w:val="0"/>
          <w:numId w:val="2"/>
        </w:numPr>
        <w:spacing w:after="80"/>
      </w:pPr>
      <w:r>
        <w:t xml:space="preserve">Peraturan Pemerintah Nomor 20 Tahun 2026 tentang Perubahan atas PP Nomor 55 Tahun 2022 tentang Penyesuaian Pengaturan di Bidang Pajak Penghasilan.</w:t>
      </w:r>
    </w:p>
    <w:p>
      <w:pPr>
        <w:pStyle w:val="ListParagraph"/>
        <w:numPr>
          <w:ilvl w:val="0"/>
          <w:numId w:val="2"/>
        </w:numPr>
        <w:spacing w:after="80"/>
      </w:pPr>
      <w:r>
        <w:t xml:space="preserve">Peraturan Menteri Keuangan Nomor 164 Tahun 2023 tentang Ketentuan Teknis PPh Final Peredaran Bruto Tertentu.</w:t>
      </w:r>
    </w:p>
    <w:p>
      <w:pPr>
        <w:pStyle w:val="ListParagraph"/>
        <w:numPr>
          <w:ilvl w:val="0"/>
          <w:numId w:val="2"/>
        </w:numPr>
        <w:spacing w:after="80"/>
      </w:pPr>
      <w:r>
        <w:t xml:space="preserve">Peraturan Menteri Keuangan Nomor 111/PMK.03/2014 s.t.d.d. Nomor 175/PMK.01/2022 tentang Konsultan Pajak.</w:t>
      </w:r>
    </w:p>
    <w:p>
      <w:pPr>
        <w:pStyle w:val="ListParagraph"/>
        <w:numPr>
          <w:ilvl w:val="0"/>
          <w:numId w:val="2"/>
        </w:numPr>
        <w:spacing w:after="80"/>
      </w:pPr>
      <w:r>
        <w:t xml:space="preserve">Peraturan Direktur Jenderal Pajak Nomor 5 Tahun 2025 tentang Penyedia Jasa Aplikasi Perpajakan.</w:t>
      </w:r>
    </w:p>
    <w:p>
      <w:pPr>
        <w:pStyle w:val="ListParagraph"/>
        <w:numPr>
          <w:ilvl w:val="0"/>
          <w:numId w:val="2"/>
        </w:numPr>
        <w:spacing w:after="80"/>
      </w:pPr>
      <w:r>
        <w:t xml:space="preserve">Peraturan Menteri Keuangan Nomor 81 Tahun 2024 tentang Implementasi Coretax Administration System.</w:t>
      </w:r>
    </w:p>
    <w:p>
      <w:pPr>
        <w:pStyle w:val="Heading2"/>
        <w:spacing w:after="150" w:before="300"/>
      </w:pPr>
      <w:r>
        <w:rPr>
          <w:b/>
          <w:bCs/>
          <w:color w:val="1F2A44"/>
        </w:rPr>
        <w:t xml:space="preserve">8.2 Riwayat Perubahan Selanjutnya</w:t>
      </w:r>
    </w:p>
    <w:p>
      <w:pPr>
        <w:spacing w:after="160" w:line="300"/>
      </w:pPr>
      <w:r>
        <w:t xml:space="preserve">Bagian ini akan diperbarui pada setiap revisi dokumen (v1.1, v1.2, dst.) seiring detail kebutuhan yang berkembang pada tahap SRS.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2026-07-12T11:25:50.335Z</dcterms:created>
  <dcterms:modified xsi:type="dcterms:W3CDTF">2026-07-12T11:25:50.349Z</dcterms:modified>
</cp:coreProperties>
</file>

<file path=docProps/custom.xml><?xml version="1.0" encoding="utf-8"?>
<Properties xmlns="http://schemas.openxmlformats.org/officeDocument/2006/custom-properties" xmlns:vt="http://schemas.openxmlformats.org/officeDocument/2006/docPropsVTypes"/>
</file>