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8A6D3B"/>
          <w:sz w:val="28"/>
          <w:szCs w:val="28"/>
        </w:rPr>
        <w:t xml:space="preserve">SPESIFIKASI KEBUTUHAN PERANGKAT LUNAK</w:t>
      </w:r>
    </w:p>
    <w:p>
      <w:pPr>
        <w:spacing w:after="200" w:before="200"/>
        <w:jc w:val="center"/>
      </w:pPr>
      <w:r>
        <w:rPr>
          <w:color w:val="5B5F66"/>
          <w:sz w:val="22"/>
          <w:szCs w:val="22"/>
        </w:rPr>
        <w:t xml:space="preserve">(SOFTWARE REQUIREMENTS SPECIFICATION)</w:t>
      </w:r>
    </w:p>
    <w:p>
      <w:pPr>
        <w:spacing w:before="600"/>
        <w:jc w:val="center"/>
      </w:pPr>
      <w:r>
        <w:rPr>
          <w:b/>
          <w:bCs/>
          <w:color w:val="1F2A44"/>
          <w:sz w:val="36"/>
          <w:szCs w:val="36"/>
        </w:rPr>
        <w:t xml:space="preserve">SIA-UMKM Premium — Platform Profil Bisnis &amp; Aplikasi Akuntansi UMKM</w:t>
      </w:r>
    </w:p>
    <w:p>
      <w:pPr>
        <w:spacing w:after="800" w:before="200"/>
        <w:jc w:val="center"/>
      </w:pPr>
      <w:r>
        <w:rPr>
          <w:i/>
          <w:iCs/>
          <w:color w:val="5B5F66"/>
          <w:sz w:val="20"/>
          <w:szCs w:val="20"/>
        </w:rPr>
        <w:t xml:space="preserve">Turunan teknis dari BRD-UMKM-01 v1.0</w:t>
      </w:r>
    </w:p>
    <w:p>
      <w:pPr>
        <w:spacing w:before="1600"/>
        <w:jc w:val="center"/>
      </w:pPr>
      <w:r>
        <w:rPr>
          <w:sz w:val="20"/>
          <w:szCs w:val="20"/>
        </w:rPr>
        <w:t xml:space="preserve">Dokumen No.: SRS-UMKM-01</w:t>
      </w:r>
    </w:p>
    <w:p>
      <w:pPr>
        <w:jc w:val="center"/>
      </w:pPr>
      <w:r>
        <w:rPr>
          <w:sz w:val="20"/>
          <w:szCs w:val="20"/>
        </w:rPr>
        <w:t xml:space="preserve">Versi 1.0</w:t>
      </w:r>
    </w:p>
    <w:p>
      <w:pPr>
        <w:jc w:val="center"/>
      </w:pPr>
      <w:r>
        <w:rPr>
          <w:sz w:val="20"/>
          <w:szCs w:val="20"/>
        </w:rPr>
        <w:t xml:space="preserve">12 Juli 2026</w:t>
      </w:r>
    </w:p>
    <w:p>
      <w:pPr>
        <w:spacing w:before="2000"/>
        <w:jc w:val="center"/>
      </w:pPr>
      <w:r>
        <w:rPr>
          <w:color w:val="5B5F66"/>
          <w:sz w:val="20"/>
          <w:szCs w:val="20"/>
        </w:rPr>
        <w:t xml:space="preserve">Disusun oleh: Nasrullah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1. Pendahuluan</w:t>
      </w: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1.1 Tujuan</w:t>
      </w:r>
    </w:p>
    <w:p>
      <w:pPr>
        <w:spacing w:after="160" w:line="300"/>
      </w:pPr>
      <w:r>
        <w:t xml:space="preserve">Dokumen ini menerjemahkan BRD-UMKM-01 v1.0 menjadi spesifikasi teknis yang dapat langsung diimplementasikan menggunakan stack Java 25 LTS + Spring Boot 4.1 + PostgreSQL 18 (backend) dan Vue 3 (frontend), termasuk kerangka kerja agentic development (Claude Code) berupa agent, sub-agent, primitive, dan artefak untuk mendukung implementasi solo-developer secara terstruktur.</w:t>
      </w: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1.2 Referensi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BRD-UMKM-01 v1.0 — Dokumen Kebutuhan Bisnis (12 Juli 2026).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PP 20/2026, PMK 164/2023, PMK 111/2014 s.t.d.d. PMK 175/2022, PER-5/PJ/2025.</w:t>
      </w: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1.3 Konvensi Penomoran</w:t>
      </w:r>
    </w:p>
    <w:p>
      <w:pPr>
        <w:spacing w:after="160" w:line="300"/>
      </w:pPr>
      <w:r>
        <w:t xml:space="preserve">Setiap kebutuhan teknis (SRS-xxx) ditelusuri ke kebutuhan bisnis terkait (BR-xxx) pada kolom "Terkait BR". Prioritas mengikuti BRD (M/S/C).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2. Arsitektur Sistem</w:t>
      </w: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2.1 Gambaran Arsitektur</w:t>
      </w:r>
    </w:p>
    <w:p>
      <w:pPr>
        <w:spacing w:after="160" w:line="300"/>
      </w:pPr>
      <w:r>
        <w:t xml:space="preserve">Sistem dibangun sebagai aplikasi monolitik modular per instalasi klien (single-tenant), terdiri dari backend REST API dan frontend SPA terpisah, dikemas dalam container untuk memudahkan replikasi instalasi.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Teknologi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Catatan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Bahasa &amp; Runtime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Java 25 LTS</w:t>
            </w:r>
          </w:p>
        </w:tc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LTS terbaru; lisensi gratis JDK 21 berakhir Sept 2026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Framework Backend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Boot 4.1 (Spring Framework 7)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Baseline Jakarta EE 11, Hibernate 7, Jackson 3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Vue 3 + Tailwind CSS</w:t>
            </w:r>
          </w:p>
        </w:tc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SPA terpisah, konsumsi REST API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 18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NUMERIC untuk semua kolom uang, trigger untuk immutability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Data JPA + Hibernate 7</w:t>
            </w:r>
          </w:p>
        </w:tc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BigDecimal wajib untuk seluruh nilai moneter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Security + JWT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Role: OWNER, STAFF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Resiliensi API eksternal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Built-in Spring Boot 4.1 retry/throttling</w:t>
            </w:r>
          </w:p>
        </w:tc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Untuk panggilan ke PJAP/Coretax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Scheduling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Batch + Quartz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Reminder pajak, agregasi omzet berkala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Testing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JUnit 5 + Testcontainers</w:t>
            </w:r>
          </w:p>
        </w:tc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 asli saat test kalkulasi pajak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 Compose per klien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Nginx reverse proxy + Certbot per domain klien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2A44"/>
        </w:rPr>
        <w:t xml:space="preserve">2.2 Prinsip Desain Wajib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Seluruh nilai uang disimpan sebagai PostgreSQL NUMERIC dan dimanipulasi sebagai java.math.BigDecimal dengan RoundingMode eksplisit — tidak pernah float/double.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Jurnal yang berstatus POSTED bersifat immutable; koreksi hanya via jurnal pembalik, ditegakkan oleh trigger database, bukan hanya validasi aplikasi.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 tarif &amp; ambang batas pajak disimpan sebagai data konfigurasi bertanggal-berlaku (effective-dated), tidak hardcoded, agar perubahan regulasi tidak memerlukan deployment ulang kode inti.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panggilan ke API pihak ketiga (PJAP/Coretax) wajib memiliki retry, timeout, dan fallback ke penyimpanan draf lokal.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3. Kebutuhan Fungsional Teknis per Modul</w:t>
      </w: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3.1 Modul A — Halaman Profil Bisnis</w:t>
      </w:r>
    </w:p>
    <w:p>
      <w:pPr>
        <w:spacing w:after="160" w:line="300"/>
      </w:pPr>
      <w:r>
        <w:rPr>
          <w:i/>
          <w:iCs/>
          <w:color w:val="5B5F66"/>
        </w:rPr>
        <w:t xml:space="preserve">Endpoint publik tanpa autentikasi, di-render sebagai halaman statis/SSR ringan untuk SEO.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100"/>
        <w:gridCol w:w="16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SRS ID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Terkait BR</w:t>
            </w:r>
          </w:p>
        </w:tc>
        <w:tc>
          <w:tcPr>
            <w:tcW w:type="dxa" w:w="5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Entitas/Tabel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SRS-A-01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BR-A-01..05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Controller publik PublicProfileController; data dari tabel business_profile, product_showcase, gallery_item, testimonial. Cache halaman (Spring Cache).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business_profile, product_showcase, gallery_item, testimonial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SRS-A-02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BR-A-06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Tombol WA generate deep-link wa.me/&lt;nomor&gt;?text= terisi otomatis nama usaha; formulir kontak kirim email via SMTP.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business_profile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SRS-A-03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BR-A-07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Generate sitemap.xml &amp; robots.txt otomatis; meta tag dinamis via SSR head fragment.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SRS-A-04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BR-A-08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Nginx reverse proxy per klien memetakan domain kustom ke container; Certbot renewal otomatis via cron dalam image deployment.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SRS-A-05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BR-A-09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Security SecurityFilterChain terpisah: /public/** permitAll, /app/** requireAuth.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SRS-A-06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BR-A-10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Tabel brand_theme (warna, logo URL, font) dikonsumsi frontend sebagai CSS variable runtime.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brand_theme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3.2 Modul B1 — Identitas Usaha</w:t>
      </w:r>
    </w:p>
    <w:p>
      <w:pPr>
        <w:spacing w:after="160" w:line="300"/>
      </w:pPr>
      <w:r>
        <w:rPr>
          <w:i/>
          <w:iCs/>
          <w:color w:val="5B5F66"/>
        </w:rPr>
        <w:t xml:space="preserve">Fondasi data yang dirujuk oleh seluruh modul lain, khususnya mesin kalkulasi pajak.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100"/>
        <w:gridCol w:w="16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SRS ID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Terkait BR</w:t>
            </w:r>
          </w:p>
        </w:tc>
        <w:tc>
          <w:tcPr>
            <w:tcW w:type="dxa" w:w="5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Entitas/Tabel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SRS-B1-01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BR-B1-01..04,08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Entity BusinessEntity (NPWP 16 digit, NIB, bentuk_badan ENUM[OP, PT_PERORANGAN, CV, FIRMA, KOPERASI, PT_BIASA], KLU, status_pkp). Validasi NPWP/NIK via regex + checksum Coretax.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business_entity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SRS-B1-02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BR-B1-05,06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Entity FamilyMember dan RelatedEntity (relasi many-to-one ke BusinessEntity) untuk agregasi omzet Pasal 58 PP 20/2026.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family_member, related_entity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SRS-B1-03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BR-B1-07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Wizard onboarding multi-step (Vue) menyimpan progres di onboarding_progress agar dapat dilanjutkan.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onboarding_progress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3.3 Modul B2 — Master Data</w:t>
      </w:r>
    </w:p>
    <w:p>
      <w:pPr>
        <w:spacing w:after="160" w:line="300"/>
      </w:pPr>
      <w:r>
        <w:rPr>
          <w:i/>
          <w:iCs/>
          <w:color w:val="5B5F66"/>
        </w:rPr>
        <w:t xml:space="preserve">Data acuan; sebagian besar CRUD standar dengan validasi domain.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100"/>
        <w:gridCol w:w="16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SRS ID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Terkait BR</w:t>
            </w:r>
          </w:p>
        </w:tc>
        <w:tc>
          <w:tcPr>
            <w:tcW w:type="dxa" w:w="5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Entitas/Tabel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SRS-B2-01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BR-B2-01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Seed data COA standar UMKM saat provisioning instance baru (Flyway changelog).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chart_of_account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SRS-B2-02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BR-B2-02..04,07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CRUD standar: Product, Customer, Vendor, CashAccount — REST resource per entity, DTO validasi via Jakarta Validation.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product, customer, vendor, cash_account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SRS-B2-03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BR-B2-05,06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Employee dan FixedAsset dengan field metode &amp; umur penyusutan; job batch bulanan hitung depresiasi otomatis.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employee, fixed_asset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SRS-B2-04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BR-B2-08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Endpoint impor CSV/Excel (Apache POI) dengan validasi baris &amp; laporan error impor.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3.4 Modul B3 — Transaksi Harian</w:t>
      </w:r>
    </w:p>
    <w:p>
      <w:pPr>
        <w:spacing w:after="160" w:line="300"/>
      </w:pPr>
      <w:r>
        <w:rPr>
          <w:i/>
          <w:iCs/>
          <w:color w:val="5B5F66"/>
        </w:rPr>
        <w:t xml:space="preserve">Inti sistem: menerjemahkan input wizard bahasa awam menjadi jurnal double-entry.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100"/>
        <w:gridCol w:w="16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SRS ID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Terkait BR</w:t>
            </w:r>
          </w:p>
        </w:tc>
        <w:tc>
          <w:tcPr>
            <w:tcW w:type="dxa" w:w="5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Entitas/Tabel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SRS-B3-01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BR-B3-01,02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TransactionWizardService memetakan setiap template (enum TransactionTemplate) ke pola jurnal predefinisi; tiap template punya JournalRuleMapper sendiri (Strategy pattern).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transaction_template_rule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SRS-B3-02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BR-B3-03,04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Field payment_method ENUM[CASH, TRANSFER, QRIS, RECEIVABLE, PAYABLE]; recurring_schedule via Quartz cron per entri berulang.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journal_entry, recurring_schedule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SRS-B3-03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BR-B3-05,06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Lampiran via object storage (path terenkripsi); generate invoice PDF dari Invoice + InvoiceLine.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attachment, invoice, invoice_line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SRS-B3-04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BR-B3-07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Trigger PostgreSQL prevent_update_posted_journal menolak UPDATE/DELETE pada journal_entry berstatus POSTED; koreksi = insert jurnal baru dengan reversal_of_id.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journal_entry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SRS-B3-05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BR-B3-08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Tabel audit_log hash-chain (hash baris N mengandung hash baris N-1), ditulis trigger AFTER INSERT/UPDATE, pola identik SIA-PDAM.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audit_log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3.5 Modul B4 — Laporan Keuangan</w:t>
      </w:r>
    </w:p>
    <w:p>
      <w:pPr>
        <w:spacing w:after="160" w:line="300"/>
      </w:pPr>
      <w:r>
        <w:rPr>
          <w:i/>
          <w:iCs/>
          <w:color w:val="5B5F66"/>
        </w:rPr>
        <w:t xml:space="preserve">Laporan dihasilkan dari agregasi journal_entry ter-posting; tidak ada data laporan disimpan terpisah (single source of truth).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100"/>
        <w:gridCol w:w="16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SRS ID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Terkait BR</w:t>
            </w:r>
          </w:p>
        </w:tc>
        <w:tc>
          <w:tcPr>
            <w:tcW w:type="dxa" w:w="5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Entitas/Tabel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SRS-B4-01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BR-B4-01..04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View SQL materialized per laporan (vw_balance_sheet, vw_income_statement, vw_cash_flow, vw_equity_change), direfresh terjadwal/on-demand.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vw_* (materialized views)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SRS-B4-02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BR-B4-05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CALK generator menyusun narasi otomatis dari master data + saldo akun signifikan (template + placeholder).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SRS-B4-03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BR-B4-06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Ekspor PDF (template engine) dan Excel (Apache POI) dari hasil view yang sama.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SRS-B4-04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BR-B4-07,08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Endpoint /reports/bank-package menggabungkan 3 laporan inti dalam satu PDF; dashboard via endpoint agregat + Vue chart.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3.6 Modul B5 — Perpajakan</w:t>
      </w:r>
    </w:p>
    <w:p>
      <w:pPr>
        <w:spacing w:after="160" w:line="300"/>
      </w:pPr>
      <w:r>
        <w:rPr>
          <w:i/>
          <w:iCs/>
          <w:color w:val="5B5F66"/>
        </w:rPr>
        <w:t xml:space="preserve">Mesin kalkulasi berbasis aturan configurable, bukan hardcode, mengingat frekuensi perubahan regulasi.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100"/>
        <w:gridCol w:w="16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SRS ID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Terkait BR</w:t>
            </w:r>
          </w:p>
        </w:tc>
        <w:tc>
          <w:tcPr>
            <w:tcW w:type="dxa" w:w="5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Entitas/Tabel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SRS-B5-01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BR-B5-01..03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Tabel tax_rule (kode, tarif, ambang_bawah, ambang_atas, berlaku_dari, berlaku_sampai) — TaxCalculationEngine memilih aturan aktif berdasarkan tanggal transaksi, bukan tanggal sistem.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tax_rule, tax_calculation_log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SRS-B5-02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BR-B5-04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OmzetAggregationJob (batch bulanan) menjumlahkan omzet dari RelatedEntity + FamilyMember sesuai Pasal 58 PP 20/2026; hasil di aggregated_omzet.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aggregated_omzet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SRS-B5-03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BR-B5-05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Rule engine deteksi bentuk_badan di luar {OP, PT_PERORANGAN, KOPERASI} + status transisi habis, flag TRANSITION_REQUIRED dan notifikasi in-app.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business_entity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SRS-B5-04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BR-B5-06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Generator draf SPT (format XML/JSON sesuai skema impor Coretax) dari tax_calculation_log.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spt_draft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SRS-B5-05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BR-B5-07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PjapIntegrationClient (retry Spring Boot 4.1) memanggil API mitra PJAP untuk kode billing; fallback simpan status PENDING_MANUAL bila API gagal.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billing_request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SRS-B5-06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BR-B5-09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Job Quartz harian cek tax_calendar dan kirim notifikasi (in-app/email) H-7, H-3, H-1 jatuh tempo.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tax_calendar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SRS-B5-07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BR-B5-11,12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tax_rule diedit via panel admin (bukan redeploy kode); UI transaksi/laporan pajak TIDAK memuat opini, hanya hasil kalkulasi bernomor pasal acuan.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tax_rule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3.7 Modul B6 — Analisis Biaya</w:t>
      </w:r>
    </w:p>
    <w:p>
      <w:pPr>
        <w:spacing w:after="160" w:line="300"/>
      </w:pPr>
      <w:r>
        <w:rPr>
          <w:i/>
          <w:iCs/>
          <w:color w:val="5B5F66"/>
        </w:rPr>
        <w:t xml:space="preserve">Perhitungan derivatif dari data transaksi &amp; master produk, disajikan sebagai dashboard analitik.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100"/>
        <w:gridCol w:w="16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SRS ID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Terkait BR</w:t>
            </w:r>
          </w:p>
        </w:tc>
        <w:tc>
          <w:tcPr>
            <w:tcW w:type="dxa" w:w="5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Entitas/Tabel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SRS-B6-01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BR-B6-01,02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View vw_product_margin menghitung HPP &amp; margin per product dari journal_entry berkategori COGS.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vw_product_margin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SRS-B6-02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BR-B6-03,06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Klasifikasi akun biaya (cost_behavior ENUM[FIXED, VARIABLE] pada chart_of_account) menjadi input kalkulasi BEP.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chart_of_account</w:t>
            </w:r>
          </w:p>
        </w:tc>
      </w:tr>
      <w:tr>
        <w:tc>
          <w:tcPr>
            <w:tcW w:type="dxa" w:w="1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SRS-B6-03</w:t>
            </w:r>
          </w:p>
        </w:tc>
        <w:tc>
          <w:tcPr>
            <w:tcW w:type="dxa" w:w="1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BR-B6-04,05</w:t>
            </w:r>
          </w:p>
        </w:tc>
        <w:tc>
          <w:tcPr>
            <w:tcW w:type="dxa" w:w="5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Budget entity per akun per periode; endpoint varians budget-vs-aktual; chart tren via endpoint time-series.</w:t>
            </w:r>
          </w:p>
        </w:tc>
        <w:tc>
          <w:tcPr>
            <w:tcW w:type="dxa" w:w="1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budget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4. Kebutuhan Non-Fungsional Teknis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rPr>
          <w:tblHeader/>
        </w:trPr>
        <w:tc>
          <w:tcPr>
            <w:tcW w:type="dxa" w:w="1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NFR</w:t>
            </w:r>
          </w:p>
        </w:tc>
        <w:tc>
          <w:tcPr>
            <w:tcW w:type="dxa" w:w="7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Spesifikasi Teknis</w:t>
            </w:r>
          </w:p>
        </w:tc>
      </w:tr>
      <w:tr>
        <w:tc>
          <w:tcPr>
            <w:tcW w:type="dxa" w:w="1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NFR-01/02</w:t>
            </w:r>
          </w:p>
        </w:tc>
        <w:tc>
          <w:tcPr>
            <w:tcW w:type="dxa" w:w="75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Vue 3 + Tailwind design system kustom (bukan template komunitas); breakpoint responsif standar (sm/md/lg/xl).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NFR-03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Lighthouse Performance score target &gt;90; lazy-load gambar galeri/katalog; SSR/prerender halaman publik.</w:t>
            </w:r>
          </w:p>
        </w:tc>
      </w:tr>
      <w:tr>
        <w:tc>
          <w:tcPr>
            <w:tcW w:type="dxa" w:w="1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NFR-04</w:t>
            </w:r>
          </w:p>
        </w:tc>
        <w:tc>
          <w:tcPr>
            <w:tcW w:type="dxa" w:w="75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Trigger PostgreSQL hash-chain pada audit_log, identik pola SIA-PDAM ADR terkait.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NFR-05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TLS 1.3 wajib (dipaksa di Nginx); kolom sensitif (NPWP, no. rekening) dienkripsi AES-256 di application layer sebelum simpan.</w:t>
            </w:r>
          </w:p>
        </w:tc>
      </w:tr>
      <w:tr>
        <w:tc>
          <w:tcPr>
            <w:tcW w:type="dxa" w:w="1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NFR-06</w:t>
            </w:r>
          </w:p>
        </w:tc>
        <w:tc>
          <w:tcPr>
            <w:tcW w:type="dxa" w:w="75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pg_dump terjadwal harian ke object storage terenkripsi + retention 30 hari.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NFR-07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 Compose template + skrip provisioning (provision-client.sh) — generate .env, migrasi DB awal, registrasi domain Nginx dalam satu perintah.</w:t>
            </w:r>
          </w:p>
        </w:tc>
      </w:tr>
      <w:tr>
        <w:tc>
          <w:tcPr>
            <w:tcW w:type="dxa" w:w="1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NFR-08</w:t>
            </w:r>
          </w:p>
        </w:tc>
        <w:tc>
          <w:tcPr>
            <w:tcW w:type="dxa" w:w="75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Certbot otomatis dalam container Nginx, renewal via cron, validasi domain sebelum aktivasi.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NFR-09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Boot 4.1 built-in retry untuk semua RestClient ke PJAP/Coretax; upgrade ke Resilience4j bila perlu granularitas lebih.</w:t>
            </w:r>
          </w:p>
        </w:tc>
      </w:tr>
      <w:tr>
        <w:tc>
          <w:tcPr>
            <w:tcW w:type="dxa" w:w="1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NFR-10</w:t>
            </w:r>
          </w:p>
        </w:tc>
        <w:tc>
          <w:tcPr>
            <w:tcW w:type="dxa" w:w="75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 OWNER (akses penuh) dan STAFF (@PreAuthorize membatasi akses laporan &amp; pengaturan pajak).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5. Antarmuka Eksternal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90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Sistem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Jenis Integrasi</w:t>
            </w:r>
          </w:p>
        </w:tc>
        <w:tc>
          <w:tcPr>
            <w:tcW w:type="dxa" w:w="3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Catatan Teknis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PJAP mitra (Pajakku/Mekari/OnlinePajak)</w:t>
            </w:r>
          </w:p>
        </w:tc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 API (billing, e-Bupot, e-Faktur H2H)</w:t>
            </w:r>
          </w:p>
        </w:tc>
        <w:tc>
          <w:tcPr>
            <w:tcW w:type="dxa" w:w="3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Kredensial per klien disimpan terenkripsi; wrapper client dengan retry &amp; circuit breaker.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Coretax DJP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Tidak langsung — via PJAP; opsional ekspor dokumen elektronik untuk impor manual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Coretax masih mengalami gangguan per pertengahan 2026; sistem tidak boleh bergantung langsung padanya.</w:t>
            </w:r>
          </w:p>
        </w:tc>
      </w:tr>
      <w:tr>
        <w:tc>
          <w:tcPr>
            <w:tcW w:type="dxa" w:w="2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SMTP/Email</w:t>
            </w:r>
          </w:p>
        </w:tc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Pengiriman notifikasi &amp; formulir kontak</w:t>
            </w:r>
          </w:p>
        </w:tc>
        <w:tc>
          <w:tcPr>
            <w:tcW w:type="dxa" w:w="3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Provider standar (mis. Amazon SES/Mailgun).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Deep-link wa.me, bukan API resmi pada fase awal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Menghindari kompleksitas WhatsApp Business API di MVP.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6. Catatan Traceability</w:t>
      </w:r>
    </w:p>
    <w:p>
      <w:pPr>
        <w:spacing w:after="160" w:line="300"/>
      </w:pPr>
      <w:r>
        <w:t xml:space="preserve">Seluruh ID SRS pada Bagian 3 memuat kolom "Terkait BR" yang memetakan langsung ke BRD-UMKM-01 v1.0. Kebutuhan non-fungsional (NFR) pada Bagian 4 memetakan satu-ke-satu terhadap NFR-01 s.d. NFR-10 pada BRD. Pemetaan ini menjadi dasar penyusunan test case penerimaan (UAT) dan backlog implementasi bertahap.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2A44"/>
        </w:rPr>
        <w:t xml:space="preserve">7. Kerangka Kerja Agentic Development (Claude Code)</w:t>
      </w:r>
    </w:p>
    <w:p>
      <w:pPr>
        <w:spacing w:after="160" w:line="300"/>
      </w:pPr>
      <w:r>
        <w:t xml:space="preserve">Bagian ini mendefinisikan agent, sub-agent, primitive (slash command), dan artefak yang digunakan untuk mendukung implementasi solo-developer secara terstruktur menggunakan Claude Code, mengikuti pola yang telah diterapkan pada SIA-PDAM2 dan ClipFlow. Berkas konfigurasi aktual (CLAUDE.md, .claude/agents/*.md, .claude/commands/*.md, artifacts/*.md) disertakan sebagai berkas terpisah pada paket deliverable.</w:t>
      </w:r>
    </w:p>
    <w:p>
      <w:pPr>
        <w:pStyle w:val="Heading2"/>
        <w:spacing w:after="150" w:before="300"/>
      </w:pPr>
      <w:r>
        <w:rPr>
          <w:b/>
          <w:bCs/>
          <w:color w:val="1F2A44"/>
        </w:rPr>
        <w:t xml:space="preserve">7.1 Daftar Agent (Sub-agent Khusus)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3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Domain Keahlian</w:t>
            </w:r>
          </w:p>
        </w:tc>
        <w:tc>
          <w:tcPr>
            <w:tcW w:type="dxa" w:w="3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Dipicu Saat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accounting-engine-architect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Double-entry ledger, BigDecimal, immutable journal, hash-chain audit trail</w:t>
            </w:r>
          </w:p>
        </w:tc>
        <w:tc>
          <w:tcPr>
            <w:tcW w:type="dxa" w:w="3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Implementasi/modifikasi modul B3 &amp; B4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tax-compliance-specialist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Regulasi pajak Indonesia (PP 20/2026 dst.), tax_rule engine, deteksi drift regulasi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Implementasi/modifikasi modul B5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database-schema-designer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Skema PostgreSQL, migrasi Flyway, indexing, constraint</w:t>
            </w:r>
          </w:p>
        </w:tc>
        <w:tc>
          <w:tcPr>
            <w:tcW w:type="dxa" w:w="3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Perubahan struktur data lintas modul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api-integration-engineer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Integrasi PJAP/Coretax, retry/circuit breaker, kontrak API pihak ketiga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Implementasi/modifikasi modul B5 bagian integrasi eksternal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premium-ux-designer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Design system Vue 3 + Tailwind, tipografi, micro-interaction</w:t>
            </w:r>
          </w:p>
        </w:tc>
        <w:tc>
          <w:tcPr>
            <w:tcW w:type="dxa" w:w="3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Implementasi UI Modul A &amp; seluruh frontend aplikasi akuntansi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security-compliance-auditor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Spring Security, enkripsi, RBAC, kepatuhan NFR-04/05/10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Review sebelum rilis; perubahan modul autentikasi/otorisasi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deployment-provisioner</w:t>
            </w:r>
          </w:p>
        </w:tc>
        <w:tc>
          <w:tcPr>
            <w:tcW w:type="dxa" w:w="3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 Compose, Nginx, Certbot, skrip provisioning klien baru</w:t>
            </w:r>
          </w:p>
        </w:tc>
        <w:tc>
          <w:tcPr>
            <w:tcW w:type="dxa" w:w="31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Onboarding instalasi klien baru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2A44"/>
        </w:rPr>
        <w:t xml:space="preserve">7.2 Primitive (Slash Command)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Fungsi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/new-client-onboarding</w:t>
            </w:r>
          </w:p>
        </w:tc>
        <w:tc>
          <w:tcPr>
            <w:tcW w:type="dxa" w:w="6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Menjalankan skrip provisioning instance baru: generate .env, migrasi DB awal, konfigurasi domain &amp; SSL.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/add-tax-rule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Workflow terpandu menambah/mengubah baris tax_rule beserta entri changelog &amp; test kalkulasi terkait.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/module-report</w:t>
            </w:r>
          </w:p>
        </w:tc>
        <w:tc>
          <w:tcPr>
            <w:tcW w:type="dxa" w:w="69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Men-generate boilerplate controller-service-entity-test untuk laporan keuangan baru berbasis view SQL.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/audit-check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Menjalankan pemeriksaan otomatis kepatuhan NFR-04 (audit trail) &amp; NFR-05 (enkripsi) pada modul yang diubah.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2A44"/>
        </w:rPr>
        <w:t xml:space="preserve">7.3 Artefak (Templates)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artifacts/tax-rule-changelog-template.md — format standar pencatatan setiap perubahan parameter pajak beserta rujukan regulasi.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artifacts/module-definition-of-done.md — checklist kelulusan modul sebelum dianggap selesai (test, audit trail, dokumentasi).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artifacts/client-onboarding-checklist.md — checklist langkah demi langkah provisioning klien baru.</w:t>
      </w:r>
    </w:p>
    <w:p>
      <w:pPr>
        <w:spacing w:after="160" w:line="300"/>
      </w:pPr>
      <w:r>
        <w:t xml:space="preserve">Berkas CLAUDE.md, definisi lengkap seluruh agent (.claude/agents/*.md), command (.claude/commands/*.md), dan artefak di atas disertakan sebagai paket berkas terpisah bersama dokumen ini.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2026-07-12T11:33:51.430Z</dcterms:created>
  <dcterms:modified xsi:type="dcterms:W3CDTF">2026-07-12T11:33:51.443Z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