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Specification &amp; UI Architecture</w:t>
      </w:r>
    </w:p>
    <w:p>
      <w:r>
        <w:t>Inside Hunters SFC Submission Document</w:t>
      </w:r>
    </w:p>
    <w:p>
      <w:pPr>
        <w:pStyle w:val="Heading1"/>
      </w:pPr>
      <w:r>
        <w:t>1. User Interface Design Tokens</w:t>
      </w:r>
    </w:p>
    <w:p>
      <w:r>
        <w:t>Engineered using custom HSL color systems (--bg-body, --cyan-primary, --border-color) with dynamic Dark/Light and customizable accent colors stored in database per user.</w:t>
      </w:r>
    </w:p>
    <w:p>
      <w:pPr>
        <w:pStyle w:val="Heading1"/>
      </w:pPr>
      <w:r>
        <w:t>2. Database Schema Design</w:t>
      </w:r>
    </w:p>
    <w:p>
      <w:r>
        <w:t>Relational schema in SQLite with mirrored documents in MongoDB Atlas: Users (Auth, Profile, Theme), Meetings (Transcript, Diarization, Sentiment), Meeting Chats, and Notifications.</w:t>
      </w:r>
    </w:p>
    <w:p>
      <w:pPr>
        <w:pStyle w:val="Heading1"/>
      </w:pPr>
      <w:r>
        <w:t>3. API Design Contracts</w:t>
      </w:r>
    </w:p>
    <w:p>
      <w:r>
        <w:t>RESTful CRUD endpoints with PBKDF2 authentication, JSON responses, and binary export streams for PDF and DOCX.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6B6D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