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Definition &amp; Market Objectives</w:t>
      </w:r>
    </w:p>
    <w:p>
      <w:r>
        <w:t>Inside Hunters SFC Submission Document</w:t>
      </w:r>
    </w:p>
    <w:p>
      <w:pPr>
        <w:pStyle w:val="Heading1"/>
      </w:pPr>
      <w:r>
        <w:t>1. Core Business Problem</w:t>
      </w:r>
    </w:p>
    <w:p>
      <w:r>
        <w:t>Manual note-taking in corporate meetings leads to lost decisions, ambiguous action item ownership, language misinterpretations, and zero tone context.</w:t>
      </w:r>
    </w:p>
    <w:p>
      <w:pPr>
        <w:pStyle w:val="Heading1"/>
      </w:pPr>
      <w:r>
        <w:t>2. Objective of TalkToText Pro</w:t>
      </w:r>
    </w:p>
    <w:p>
      <w:r>
        <w:t>Deliver an automated, acoustic-aware meeting intelligence workspace that turns raw multi-speaker recordings into verified deliverables and executive summaries in seconds.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6B6D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