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075B" w14:textId="77777777" w:rsidR="000046D7" w:rsidRPr="000046D7" w:rsidRDefault="000046D7" w:rsidP="000046D7">
      <w:pPr>
        <w:pStyle w:val="Heading1"/>
      </w:pPr>
      <w:r w:rsidRPr="000046D7">
        <w:t>e-Portfolio Activity: Model Performance Measurement</w:t>
      </w:r>
    </w:p>
    <w:p w14:paraId="4FD5DE80" w14:textId="019A8FDA" w:rsidR="000046D7" w:rsidRDefault="00A42123" w:rsidP="000046D7">
      <w:pPr>
        <w:ind w:firstLine="720"/>
      </w:pPr>
      <w:r>
        <w:t>Measuring model performance is a critical step in the machine learning pipeline to ensure that a model is accurate and</w:t>
      </w:r>
      <w:r w:rsidR="000046D7">
        <w:t xml:space="preserve"> </w:t>
      </w:r>
      <w:r>
        <w:t>generalisable</w:t>
      </w:r>
      <w:r w:rsidR="000046D7">
        <w:t xml:space="preserve"> to unseen data. The performance of a Support Vector Classifier (SVC), through the confusion matrix and ROC curve, was evaluated in this activity. We varied three parameters, changing the </w:t>
      </w:r>
      <w:r>
        <w:t>train test split ratio values</w:t>
      </w:r>
      <w:r w:rsidR="000046D7">
        <w:t xml:space="preserve">, regularisation parameter C, and kernel type to see what makes a difference to </w:t>
      </w:r>
      <w:r>
        <w:t xml:space="preserve">the </w:t>
      </w:r>
      <w:r w:rsidR="000046D7">
        <w:t>model's performance.</w:t>
      </w:r>
    </w:p>
    <w:p w14:paraId="6E591EC8" w14:textId="382FEB7A" w:rsidR="000046D7" w:rsidRDefault="000046D7" w:rsidP="000046D7">
      <w:r>
        <w:tab/>
        <w:t xml:space="preserve">After splitting the data with a 70:30 training and testing ratio, the model showed considerable </w:t>
      </w:r>
      <w:r w:rsidR="00A42123">
        <w:t>differences</w:t>
      </w:r>
      <w:r>
        <w:t xml:space="preserve"> in its </w:t>
      </w:r>
      <w:r w:rsidR="00A42123">
        <w:t>classification capability</w:t>
      </w:r>
      <w:r>
        <w:t xml:space="preserve">. A confusion matrix showed that the model predicted all instances as belonging to a single class, with 18 false positives but no true negatives, indicating too great a disparity between predictions of different </w:t>
      </w:r>
      <w:r w:rsidR="00A42123">
        <w:t>courses</w:t>
      </w:r>
      <w:r>
        <w:t xml:space="preserve">. It was possibly due to class imbalance or insufficient training to </w:t>
      </w:r>
      <w:r w:rsidR="00A42123">
        <w:t>enable sufficient parameter</w:t>
      </w:r>
      <w:r>
        <w:t xml:space="preserve"> tuning.</w:t>
      </w:r>
    </w:p>
    <w:p w14:paraId="2856FE94" w14:textId="1D29464D" w:rsidR="007942D2" w:rsidRDefault="007942D2" w:rsidP="007942D2">
      <w:pPr>
        <w:jc w:val="center"/>
      </w:pPr>
      <w:r>
        <w:rPr>
          <w:noProof/>
        </w:rPr>
        <w:drawing>
          <wp:inline distT="0" distB="0" distL="0" distR="0" wp14:anchorId="476A49E1" wp14:editId="0BA17327">
            <wp:extent cx="3667125" cy="3230160"/>
            <wp:effectExtent l="76200" t="76200" r="123825" b="142240"/>
            <wp:docPr id="635777374" name="Picture 1" descr="A chart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7374" name="Picture 1" descr="A chart with different colored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50" cy="3230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3684C" w14:textId="34B68E05" w:rsidR="000046D7" w:rsidRDefault="000046D7" w:rsidP="000046D7">
      <w:r>
        <w:tab/>
        <w:t xml:space="preserve">This was done to see how the decision boundary changes as the </w:t>
      </w:r>
      <w:r w:rsidR="00A42123">
        <w:t>regularisation</w:t>
      </w:r>
      <w:r>
        <w:t xml:space="preserve"> strength (C) </w:t>
      </w:r>
      <w:r w:rsidR="00F61735">
        <w:t>are</w:t>
      </w:r>
      <w:r>
        <w:t xml:space="preserve"> 0.1. As we simplified in the model, we underfitted, reflected by the poor classification of </w:t>
      </w:r>
      <w:r w:rsidR="00A42123">
        <w:t>class</w:t>
      </w:r>
      <w:r>
        <w:t xml:space="preserve"> 0. Lastly, the kernel was changed from a polynomial (poly) type </w:t>
      </w:r>
      <w:r w:rsidR="00A42123">
        <w:t>to introduce non-linear decision boundaries to handle complex data patterns</w:t>
      </w:r>
      <w:r>
        <w:t>. Th</w:t>
      </w:r>
      <w:r w:rsidR="00981A2A">
        <w:t>e</w:t>
      </w:r>
      <w:r>
        <w:t xml:space="preserve"> (ROC AUC) </w:t>
      </w:r>
      <w:r w:rsidR="00A42123">
        <w:t xml:space="preserve">of </w:t>
      </w:r>
      <w:r w:rsidR="00981A2A">
        <w:t xml:space="preserve">0.85 </w:t>
      </w:r>
      <w:r>
        <w:t>increased</w:t>
      </w:r>
      <w:r w:rsidR="00A42123">
        <w:t>. Still, the</w:t>
      </w:r>
      <w:r>
        <w:t xml:space="preserve"> confusion matrix showed </w:t>
      </w:r>
      <w:r w:rsidR="00A42123">
        <w:t xml:space="preserve">that there remain true negatives, </w:t>
      </w:r>
      <w:r w:rsidR="00F61735">
        <w:t>meaning</w:t>
      </w:r>
      <w:r w:rsidR="00A42123">
        <w:t xml:space="preserve"> threshold-based</w:t>
      </w:r>
      <w:r>
        <w:t xml:space="preserve"> predictions alone will omit too many real negatives.</w:t>
      </w:r>
    </w:p>
    <w:p w14:paraId="374CF307" w14:textId="585CA58B" w:rsidR="007942D2" w:rsidRDefault="007942D2" w:rsidP="007942D2">
      <w:pPr>
        <w:jc w:val="center"/>
      </w:pPr>
      <w:r>
        <w:rPr>
          <w:noProof/>
        </w:rPr>
        <w:lastRenderedPageBreak/>
        <w:drawing>
          <wp:inline distT="0" distB="0" distL="0" distR="0" wp14:anchorId="7547AB8C" wp14:editId="61965391">
            <wp:extent cx="4140726" cy="3257550"/>
            <wp:effectExtent l="76200" t="76200" r="127000" b="133350"/>
            <wp:docPr id="1281210077" name="Picture 2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0077" name="Picture 2" descr="A graph of a func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529" cy="32589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735907" w14:textId="205E209E" w:rsidR="003E3FD4" w:rsidRDefault="000046D7" w:rsidP="000046D7">
      <w:r>
        <w:tab/>
      </w:r>
      <w:r w:rsidR="00A42123">
        <w:t>These results reveal that parameter tuning and facing class imbalance are critical areas</w:t>
      </w:r>
      <w:r>
        <w:t xml:space="preserve">. </w:t>
      </w:r>
      <w:r w:rsidR="00A42123">
        <w:t>Although</w:t>
      </w:r>
      <w:r>
        <w:t xml:space="preserve"> the AUC of the model of 0.85 suggests that it discriminates classes with </w:t>
      </w:r>
      <w:r w:rsidR="00A42123">
        <w:t xml:space="preserve">a </w:t>
      </w:r>
      <w:r>
        <w:t xml:space="preserve">moderate to reasonable difference, the confusion matrix indicates an improvement at some additional level in a form such as class weights or an advanced technique such as oversampling. The activity </w:t>
      </w:r>
      <w:r w:rsidR="00A42123">
        <w:t>evaluated these changes</w:t>
      </w:r>
      <w:r>
        <w:t xml:space="preserve"> systematically </w:t>
      </w:r>
      <w:r w:rsidR="00A42123">
        <w:t>to</w:t>
      </w:r>
      <w:r>
        <w:t xml:space="preserve"> understand how parameter selection affects the </w:t>
      </w:r>
      <w:proofErr w:type="spellStart"/>
      <w:r>
        <w:t>tradeoff</w:t>
      </w:r>
      <w:proofErr w:type="spellEnd"/>
      <w:r>
        <w:t xml:space="preserve"> between model complexity and predictive performance.</w:t>
      </w:r>
    </w:p>
    <w:sectPr w:rsidR="003E3FD4" w:rsidSect="0061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QwMTS1MDM3tzA2MTNV0lEKTi0uzszPAykwrAUA1P1/bCwAAAA="/>
  </w:docVars>
  <w:rsids>
    <w:rsidRoot w:val="000046D7"/>
    <w:rsid w:val="000046D7"/>
    <w:rsid w:val="000376C6"/>
    <w:rsid w:val="000A0EFC"/>
    <w:rsid w:val="001C17F0"/>
    <w:rsid w:val="001C69CF"/>
    <w:rsid w:val="003E3FD4"/>
    <w:rsid w:val="00611AF0"/>
    <w:rsid w:val="007521D3"/>
    <w:rsid w:val="007942D2"/>
    <w:rsid w:val="009335A1"/>
    <w:rsid w:val="00981A2A"/>
    <w:rsid w:val="009C5DB2"/>
    <w:rsid w:val="00A42123"/>
    <w:rsid w:val="00CC1762"/>
    <w:rsid w:val="00D66DBA"/>
    <w:rsid w:val="00D82E94"/>
    <w:rsid w:val="00E10ADC"/>
    <w:rsid w:val="00F6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14B8B"/>
  <w15:chartTrackingRefBased/>
  <w15:docId w15:val="{29DDAB1F-38DE-4144-B05D-57BDF623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AF0"/>
    <w:pPr>
      <w:spacing w:after="12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AF0"/>
    <w:pPr>
      <w:keepNext/>
      <w:keepLines/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AF0"/>
    <w:pPr>
      <w:keepNext/>
      <w:keepLines/>
      <w:spacing w:after="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AF0"/>
    <w:pPr>
      <w:keepNext/>
      <w:keepLines/>
      <w:spacing w:after="0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AF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1AF0"/>
    <w:rPr>
      <w:rFonts w:ascii="Times New Roman" w:eastAsiaTheme="majorEastAsia" w:hAnsi="Times New Roman" w:cstheme="majorBidi"/>
      <w:b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AF0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D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D7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D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D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D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D7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46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D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0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D7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04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301</Words>
  <Characters>1711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6</cp:revision>
  <dcterms:created xsi:type="dcterms:W3CDTF">2025-01-20T10:13:00Z</dcterms:created>
  <dcterms:modified xsi:type="dcterms:W3CDTF">2025-01-20T13:23:00Z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9b29c17c687192f3d04d1deb502f1a5456e02c6410aabc879bf3174295208e6e</vt:lpwstr>
  </property>
</Properties>
</file>