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widowControl/>
        <w:spacing w:line="360" w:lineRule="auto" w:after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 2</w:t>
      </w:r>
    </w:p>
    <w:p>
      <w:pPr>
        <w:pageBreakBefore w:val="0"/>
        <w:widowControl/>
        <w:spacing w:line="360" w:lineRule="auto" w:after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«Оценка рисков проекта и расчёт себестоимости проекта по трудозатратам»</w:t>
      </w:r>
    </w:p>
    <w:p>
      <w:pPr>
        <w:pageBreakBefore w:val="0"/>
        <w:widowControl/>
        <w:spacing w:line="360" w:lineRule="auto" w:after="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Выполнила студентка группы ЗПИуд-123</w:t>
      </w:r>
    </w:p>
    <w:p>
      <w:pPr>
        <w:pageBreakBefore w:val="0"/>
        <w:widowControl/>
        <w:spacing w:line="360" w:lineRule="auto" w:after="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Махрова А.А.</w:t>
      </w:r>
    </w:p>
    <w:p>
      <w:pPr>
        <w:pageBreakBefore w:val="0"/>
        <w:widowControl/>
        <w:spacing w:before="480" w:line="360" w:lineRule="auto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Тема проекта:</w:t>
      </w:r>
    </w:p>
    <w:p>
      <w:pPr>
        <w:pageBreakBefore w:val="0"/>
        <w:widowControl/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Автоматизированная система «База студентов колледжа» (АС «Студенты»)</w:t>
      </w:r>
    </w:p>
    <w:p>
      <w:pPr>
        <w:pageBreakBefore w:val="0"/>
        <w:widowControl/>
        <w:spacing w:line="360" w:lineRule="auto" w:after="0"/>
        <w:ind w:firstLine="850"/>
        <w:jc w:val="both"/>
      </w:pP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 xml:space="preserve">Цель: </w:t>
      </w:r>
      <w:r>
        <w:rPr>
          <w:rFonts w:ascii="Times New Roman" w:hAnsi="Times New Roman"/>
          <w:sz w:val="28"/>
        </w:rPr>
        <w:t>Работа определяет приоритеты проекта, оценивает десять рисков и выделяет пять наиболее значимых. Оценка по 24 исходным прецедентам связана с распределением часов по шести ролям и денежной себестоимостью. Excel-книга содержит изменяемые допущения и формулы для повторного расчёта.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Результат учебной оценки: 1 747,50 человеко-часа, расчётная продолжительность 5,14 месяца, себестоимость 2 058 130 руб. Отдельный бюджетный резерв 10% составляет 205 813 руб.; бюджет с резервом — 2 263 943 руб.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Использованы требования исходного задания и проектные сведения прежних лабораторных работ. Референсы TaskFlow задают ориентир полноты и структуры. Перечень функций, решения по ресурсам и расчётная модель адаптированы к АС «Студенты».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Это плановая учебная оценка, а не отчёт о фактическом выполнении проекта. Экспертные баллы, распределение загрузки, ставки и прямые расходы являются явно обозначенными допущениями. Подтверждённый опрос участников не проводился.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1. Исходные данные и приоритеты проекта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АС «Студенты» автоматизирует учёт студентов, учебных групп, оценок, посещаемости и расписания, а также формирование и экспорт отчётов. Авторизация и разграничение прав обеспечивают доступ сотрудников колледжа к разрешённым операциям.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6503"/>
      </w:tblGrid>
      <w:tr>
        <w:trPr>
          <w:cantSplit/>
          <w:tblHeader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Параметр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Проектные данные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Заказчик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ООО «Супер Академия»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Срок проекта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23.03.2026–23.09.2026, шесть календарных месяцев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Методология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Agile Scrum; планирование, демонстрации и пересмотр рисков на границах спринтов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Архитектура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Трёхуровневая клиент-серверная архитектура, REST API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Frontend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React.js 18, TypeScript, Material-UI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Backend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Python 3.11; Django 5.0 или FastAPI — исходная альтернатива сохраняется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База данных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PostgreSQL 16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Состав работ</w:t>
            </w:r>
          </w:p>
        </w:tc>
        <w:tc>
          <w:tcPr>
            <w:tcW w:type="dxa" w:w="650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24 бизнес-прецедента, без научных прецедентов</w:t>
            </w:r>
          </w:p>
        </w:tc>
      </w:tr>
    </w:tbl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Матрица компромиссов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Приоритеты сохранены: сначала функциональность, затем срок, далее регулируемая загрузка команды. Матрица задаёт одну фиксируемую, одну согласуемую и одну принимаемую характеристику согласно заданию.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001"/>
        <w:gridCol w:w="2001"/>
        <w:gridCol w:w="2001"/>
      </w:tblGrid>
      <w:tr>
        <w:trPr>
          <w:cantSplit/>
          <w:tblHeader/>
        </w:trPr>
        <w:tc>
          <w:tcPr>
            <w:tcW w:type="dxa" w:w="2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Фактор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Фиксируется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Согласуется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Принимается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Возможности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Ресурсы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Да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Все 24 исходных прецедента включены в оценку. При нехватке ёмкости сначала перераспределяется загрузка шести участников. Срок остаётся базовым ограничением; отклонение согласуется с заказчиком. Новые требования требуют отдельного решения по объёму, сроку и ресурсам. Удаление обязательной функции не используется как автоматический способ снижения оценки.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Правило контроля изменений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Руководитель фиксирует запрос, аналитик определяет затронутые прецеденты, разработчики и QA уточняют оценку. После согласования обновляются бэклог, критерии приёмки и Excel-книга. Изменение приоритетов матрицы также фиксируется в журнале решений.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2. Метод экспертной оценки рисков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Оценены десять рисков учебного учёта и организации разработки. Вероятность P и влияние I задаются от 1 до 5. Шесть ролей имеют одинаковый вес.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0"/>
        <w:gridCol w:w="2001"/>
        <w:gridCol w:w="5753"/>
      </w:tblGrid>
      <w:tr>
        <w:trPr>
          <w:cantSplit/>
          <w:tblHeader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Код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Участник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Роль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РП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Махрова А.А.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Руководитель проекта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ТЛ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Иванов С.П.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Тимлид и системный аналитик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BE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Пупкин И.О.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Backend-разработчик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FE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Сидорова Е.В.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Frontend-разработчик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UX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Козлова М.Д.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UI/UX-дизайнер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QA</w:t>
            </w:r>
          </w:p>
        </w:tc>
        <w:tc>
          <w:tcPr>
            <w:tcW w:type="dxa" w:w="2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Петров А.И.</w:t>
            </w:r>
          </w:p>
        </w:tc>
        <w:tc>
          <w:tcPr>
            <w:tcW w:type="dxa" w:w="57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QA-инженер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P: 1 — редко; 2 — маловероятно; 3 — возможно; 4 — вероятно; 5 — почти неизбежно. I: 1 — локальная правка; 2 — малая доработка; 3 — часть спринта; 4 — угроза вехе; 5 — срыв приёмки или нарушение целостности.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Pср = ΣP / 6; Iср = ΣI / 6; рейтинг S = Pср × Iср. Баллы являются порядковыми оценками, а не статистическими вероятностями или денежным ущербом. Поэтому рейтинг служит для приоритизации и не переводится автоматически в надбавку к стоимости.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Равные рейтинги упорядочиваются по ID: RANK дополняется числом предыдущих повторов. Выбираются ровно пять рисков. Исходные баллы приведены в приложении А и в Excel.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Сводная экспертная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309"/>
        <w:gridCol w:w="850"/>
        <w:gridCol w:w="850"/>
        <w:gridCol w:w="1361"/>
        <w:gridCol w:w="1247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Риск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Pср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Iср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Рейтинг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Место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R-01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Нереалистичные сроки и объём проекта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4,17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4,67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19,44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R-02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Изменение требований в процессе разработки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4,00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4,17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16,67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R-03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Несоответствие реализованной функциональности требованиям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3,17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4,67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14,78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R-04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Ошибки интеграции frontend/backend/БД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3,33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4,33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14,44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R-05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Разрыв в квалификации специалистов разных областей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3,00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4,00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12,00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R-06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Недостаточная производительность системы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2,00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3,83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7,67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R-07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Неправильный пользовательский интерфейс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2,33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3,00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7,00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R-08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Дефицит специалистов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2,00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4,67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9,33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R-09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Нехватка информации о внешних компонентах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1,17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2,67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3,11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R-10</w:t>
            </w:r>
          </w:p>
        </w:tc>
        <w:tc>
          <w:tcPr>
            <w:tcW w:type="dxa" w:w="430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Ненужная оптимизация и расширение функциональности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2,67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2,83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7,56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Главные риски: R-01, R-02, R-03, R-04 и R-05. Рейтинг рассчитывается без промежуточного округления; в отчёте отображаются два знака после запятой.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3. Анализ пяти главных рисков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пяти рисков с максимальным рейтингом определены последствия, предупреждающие действия и меры при наступлении события. Владелец контролирует сигнал и инициирует решение на ближайшем планировании или немедленно при блокировании приёмки.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154"/>
        <w:gridCol w:w="3288"/>
        <w:gridCol w:w="3288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Последствия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Предотвращение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Минимизация последствий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R-01</w:t>
            </w:r>
          </w:p>
        </w:tc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Незавершённые сценарии и задержка приёмки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Декомпозиция 24 прецедентов и проверка ёмкости перед Sprint Planning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Перераспределить загрузку шести ролей; согласовать ресурсы и план без удаления обязательных функций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R-02</w:t>
            </w:r>
          </w:p>
        </w:tc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Повторная реализация и рост трудозатрат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Критерии приёмки и журнал требований; демонстрация каждого инкремента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Оценить затронутые UC, API и тесты; согласовать изменение с заказчиком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R-03</w:t>
            </w:r>
          </w:p>
        </w:tc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Отказ в приёмке и ошибки учебного учёта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Трассировка требований к UC и тестам; ревью аналитика до разработки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Исправить расхождения по приоритету и повторить приёмочные проверки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R-04</w:t>
            </w:r>
          </w:p>
        </w:tc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Ошибки обмена и несогласованность данных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Согласовать REST-контракты и миграции; интегрировать части в каждом спринте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Зафиксировать несовместимость; исправить контракт и выполнить регрессию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R-05</w:t>
            </w:r>
          </w:p>
        </w:tc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Задержка задач и рост числа дефектов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Парные ревью, распределение задач по навыкам и общая техническая база</w:t>
            </w:r>
          </w:p>
        </w:tc>
        <w:tc>
          <w:tcPr>
            <w:tcW w:type="dxa" w:w="328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Провести консультацию, разбить задачу и перераспределить работу</w:t>
            </w:r>
          </w:p>
        </w:tc>
      </w:tr>
    </w:tbl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Владельцы и сигналы срабатывания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721"/>
        <w:gridCol w:w="4762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272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Владелец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Сигнал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R-01</w:t>
            </w:r>
          </w:p>
        </w:tc>
        <w:tc>
          <w:tcPr>
            <w:tcW w:type="dxa" w:w="272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Руководитель проекта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Остаток работ превышает доступную ёмкость двух ближайших спринтов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R-02</w:t>
            </w:r>
          </w:p>
        </w:tc>
        <w:tc>
          <w:tcPr>
            <w:tcW w:type="dxa" w:w="272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Тимлид и системный аналитик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После согласования появляются изменения правил учёта или новых отчётов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R-03</w:t>
            </w:r>
          </w:p>
        </w:tc>
        <w:tc>
          <w:tcPr>
            <w:tcW w:type="dxa" w:w="272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QA-инженер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На демонстрации обнаружено расхождение сценария с критерием приёмки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R-04</w:t>
            </w:r>
          </w:p>
        </w:tc>
        <w:tc>
          <w:tcPr>
            <w:tcW w:type="dxa" w:w="272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Тимлид и системный аналитик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Контрактный тест API или сквозной сценарий завершается ошибкой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R-05</w:t>
            </w:r>
          </w:p>
        </w:tc>
        <w:tc>
          <w:tcPr>
            <w:tcW w:type="dxa" w:w="272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Тимлид и системный аналитик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Задача дважды возвращена с ревью по одной причине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На Sprint Review команда уточняет баллы по фактическим препятствиям и проверяет завершение мер. Событие, которое уже произошло, переводится из риска в проблему с отдельным ответственным и сроком решения. Отсутствие высокого рейтинга не отменяет обязательные проверки доступа и целостности данных.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4. Оценка прецедентов от UC 01 до UC 12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Сохранены исходные ID, названия и ранги всех 24 бизнес-прецедентов. Каждый ранг отражает число проверок, связей данных и вариантов сценария. Научные алгоритмы отсутствуют: средний балл относится к обычному учебному учёту.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953"/>
        <w:gridCol w:w="850"/>
        <w:gridCol w:w="1020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Прецедент и основание сложности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Ранг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Часы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UC-01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Добавление нового студента</w:t>
              <w:br/>
              <w:t>Проверка обязательных полей и уникальности записи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UC-02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Редактирование данных студента</w:t>
              <w:br/>
              <w:t>Валидация изменений персональных данных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UC-03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Удаление студента</w:t>
              <w:br/>
              <w:t>Контроль зависимых оценок и посещений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UC-04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Поиск студента по параметрам</w:t>
              <w:br/>
              <w:t>Комбинация фильтров без изменения данных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UC-05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Создание учебной группы</w:t>
              <w:br/>
              <w:t>Проверка уникального обозначения группы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UC-06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Редактирование информации о группе</w:t>
              <w:br/>
              <w:t>Проверка параметров учебной группы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UC-07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Удаление учебной группы</w:t>
              <w:br/>
              <w:t>Контроль студентов и других зависимостей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UC-08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Назначение студента в группу</w:t>
              <w:br/>
              <w:t>Связь студент–группа и контроль перевода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UC-09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Ввод оценки по дисциплине</w:t>
              <w:br/>
              <w:t>Проверка дисциплины, студента и допустимой оценки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UC-10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Изменение/удаление оценки</w:t>
              <w:br/>
              <w:t>Проверка права изменения и согласованности журнала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UC-11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Просмотр оценок студента/группы</w:t>
              <w:br/>
              <w:t>Выборки по студенту, группе и дисциплине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UC-12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 среднего балла</w:t>
              <w:br/>
              <w:t>Агрегация оценок и корректная обработка пустых данных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Шкала таблицы 3 задания: ранг 1 — 32 ч; ранг 2 — 45 ч; ранг 3 — 58 ч; ранг 4 — 71 ч; ранг 5 — 94 ч. Ранг определяется до технологической поправки; часы выбираются формулой VLOOKUP.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4. Оценка прецедентов от UC 13 до UC 24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Прецеденты отчётности и расписания имеют более высокие ранги из-за агрегаций, проверки конфликтов и согласованности результатов. Авторизация и права доступа оцениваются как самостоятельные сценарии.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953"/>
        <w:gridCol w:w="850"/>
        <w:gridCol w:w="1020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Прецедент и основание сложности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Ранг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Часы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UC-13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Регистрация посещения</w:t>
              <w:br/>
              <w:t>Связь студента с занятием и датой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UC-14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Фиксация отсутствия и причины</w:t>
              <w:br/>
              <w:t>Различение пропуска и уважительной причины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UC-15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Формирование статистики посещаемости</w:t>
              <w:br/>
              <w:t>Агрегация за период по группам и причинам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UC-16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Создание расписания</w:t>
              <w:br/>
              <w:t>Проверка пересечений занятий и связей справочников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UC-17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Редактирование расписания</w:t>
              <w:br/>
              <w:t>Проверка конфликтов при изменении занятия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UC-18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Отображение расписания по группе</w:t>
              <w:br/>
              <w:t>Фильтрация занятий группы за выбранный период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UC-19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Формирование отчёта по успеваемости</w:t>
              <w:br/>
              <w:t>Сводные показатели с проверкой итогов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UC-20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Формирование отчёта по посещаемости</w:t>
              <w:br/>
              <w:t>Согласованность итогов с журналом посещаемости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UC-21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Формирование отчёта по группам</w:t>
              <w:br/>
              <w:t>Сводка состава и учебных показателей групп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UC-22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Экспорт отчётов в PDF/Excel</w:t>
              <w:br/>
              <w:t>Два формата, кириллица, структура и сверка итогов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UC-23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Авторизация пользователя</w:t>
              <w:br/>
              <w:t>Проверка учётных данных и состояния сессии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UC-24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Разграничение прав доступа</w:t>
              <w:br/>
              <w:t>Единые правила доступа на клиенте и в API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71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Всего: 8 простых прецедентов × 45 + 10 средних × 58 + 6 сложных × 71 = 1 366 человеко-часов.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Оценка включает анализ, проектирование, программирование, тестирование и минимальную документацию. Ролевое распределение далее делит эти часы между исполнителями и не добавляет повторно часы аналитики, дизайна или QA.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5. Расчёт трудозатрат и продолжительности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Поправки на технологии и риски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React, Python и PostgreSQL исходная методика не задаёт отдельного проверенного коэффициента. Как и в исходной работе АС «Студенты», принимается нейтральный Kтех = 1,00. Коэффициент AJAX = 1,5 из примера TaskFlow не переносится на проект автоматически. Выбор Kтех — ограничение учебной оценки; при появлении обоснования значение можно заменить в Excel.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ТЗ не заявлены внешние системы с неизвестной спецификацией и специализированное оборудование. Поэтому Kриска = 1,00. Внутренние организационные риски управляются мерами раздела 3; их рейтинги не входят в коэффициент. Денежный резерв бюджета показан отдельно и не увеличивает часы.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Состав трудозатрат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1"/>
        <w:gridCol w:w="4001"/>
        <w:gridCol w:w="1851"/>
      </w:tblGrid>
      <w:tr>
        <w:trPr>
          <w:cantSplit/>
          <w:tblHeader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Составляющая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Расчёт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Человеко часы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База 24 прецедентов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 × 45 + 10 × 58 + 6 × 71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1 366,00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После технологии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 × 1,00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1 366,00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После внешних рисков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 × 1,00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1 366,00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Управление проектом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 × 25%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341,50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Дополнительная документация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Учебная оценка руководства пользователя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24,00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Развёртывание пилота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Учебная оценка настройки и передачи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16,00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type="dxa" w:w="40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 + 341,50 + 24 + 16</w:t>
            </w:r>
          </w:p>
        </w:tc>
        <w:tc>
          <w:tcPr>
            <w:tcW w:type="dxa" w:w="18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1 747,50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24 часа относятся к законченному руководству пользователя сверх минимальной документации прецедентов; 16 часов — к развёртыванию и передаче пилота. Эти часы закреплены за аналитиком и backend-разработчиком соответственно. Отдельный DevOps в команду не добавляется.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Продолжительность по формуле Боэма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По заданию в оценку E входят разработка, тестирование и дополнительная документация. Управление и развёртывание учитываются в общих трудозатратах, но не в аргументе этой формулы.</w:t>
      </w:r>
    </w:p>
    <w:p>
      <w:pPr>
        <w:pageBreakBefore w:val="0"/>
        <w:widowControl/>
        <w:spacing w:line="360" w:lineRule="auto" w:after="0"/>
        <w:ind w:left="850" w:firstLine="0"/>
        <w:jc w:val="left"/>
      </w:pPr>
      <w:r>
        <w:rPr>
          <w:rFonts w:ascii="Times New Roman" w:hAnsi="Times New Roman"/>
          <w:b/>
          <w:color w:val="000000"/>
          <w:sz w:val="28"/>
        </w:rPr>
        <w:t>E = (1 366 + 24) / 160 = 8,6875 чел.-мес.</w:t>
        <w:br/>
        <w:t>T = 2,5 × E^(1/3) = 5,1393 ≈ 5,14 месяца.</w:t>
        <w:br/>
        <w:t>FTE разработки и документации = E / T = 1,69.</w:t>
        <w:br/>
        <w:t>FTE всех работ = 1 747,50 / (5,1393 × 160) = 2,13.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FTE — эквивалент полной занятости, а не число участников. При базовом сроке шесть месяцев требуется в среднем 1,82 FTE, или 30,34% полной занятости каждого из шести участников при условно равномерном распределении. Фактическая загрузка зависит от роли и этапа.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6. Трудовая и денежная себестоимость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Почасовые ставки заданы как учебная полная стоимость труда для организации, включая связанные с ним расходы работодателя. Накладные и начисления повторно не прибавляются. Ставки не выдаются за рыночные котировки или утверждённые тарифы заказчика. Все денежные значения приведены в рублях.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850"/>
        <w:gridCol w:w="1020"/>
        <w:gridCol w:w="1191"/>
        <w:gridCol w:w="1020"/>
        <w:gridCol w:w="1077"/>
        <w:gridCol w:w="1757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Роль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Доля базы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База ч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Прочие ч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Все ч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Руб за ч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Стоимость руб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Руководитель проекта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0%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0,00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341,50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341,50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1 450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495 175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Тимлид и системный аналитик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20%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273,20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24,00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297,20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1 250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371 500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Backend-разработчик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30%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409,80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16,00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425,80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1 150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489 670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Frontend-разработчик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25%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341,50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0,00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341,50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1 100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375 650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UI/UX-дизайнер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10%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136,60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0,00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136,60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950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129 770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QA-инженер</w:t>
            </w:r>
          </w:p>
        </w:tc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15%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204,90</w:t>
            </w:r>
          </w:p>
        </w:tc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0,00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204,90</w:t>
            </w:r>
          </w:p>
        </w:tc>
        <w:tc>
          <w:tcPr>
            <w:tcW w:type="dxa" w:w="10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850</w:t>
            </w:r>
          </w:p>
        </w:tc>
        <w:tc>
          <w:tcPr>
            <w:tcW w:type="dxa" w:w="175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174 165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Сумма долей пяти исполнительских ролей равна 100%. У руководителя 341,50 часа управления учитываются отдельно. У аналитика добавлены 24 часа документации, у backend-разработчика — 16 часов развёртывания. Сумма ролевых часов равна 1 747,50.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Стоимость роли = (основные часы + прочие часы) × полная ставка. Общая трудовая стоимость: 2 035 930 руб. Ролевое распределение представляет плановую модель загрузки, которую следует уточнять по данным спринтов.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23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spacing w:line="360" w:lineRule="auto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1 — Плановая трудовая стоимость по шести ролям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7. Прямые расходы и итоговая оценка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Дополнительные расходы ограничены средами проекта и доменом. Тестовая среда и пилотный хостинг — два разных окружения. Обе статьи планируются на шесть месяцев. Цена домена дана за один год; она не умножается на число месяцев.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2"/>
        <w:gridCol w:w="1751"/>
        <w:gridCol w:w="1501"/>
        <w:gridCol w:w="1751"/>
      </w:tblGrid>
      <w:tr>
        <w:trPr>
          <w:cantSplit/>
          <w:tblHeader/>
        </w:trPr>
        <w:tc>
          <w:tcPr>
            <w:tcW w:type="dxa" w:w="35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Статья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Количество</w:t>
            </w:r>
          </w:p>
        </w:tc>
        <w:tc>
          <w:tcPr>
            <w:tcW w:type="dxa" w:w="1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Цена руб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Сумма руб</w:t>
            </w:r>
          </w:p>
        </w:tc>
      </w:tr>
      <w:tr>
        <w:trPr>
          <w:cantSplit/>
        </w:trPr>
        <w:tc>
          <w:tcPr>
            <w:tcW w:type="dxa" w:w="35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Тестовая среда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 месяцев</w:t>
            </w:r>
          </w:p>
        </w:tc>
        <w:tc>
          <w:tcPr>
            <w:tcW w:type="dxa" w:w="1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2 000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12 000</w:t>
            </w:r>
          </w:p>
        </w:tc>
      </w:tr>
      <w:tr>
        <w:trPr>
          <w:cantSplit/>
        </w:trPr>
        <w:tc>
          <w:tcPr>
            <w:tcW w:type="dxa" w:w="35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Пилотный хостинг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 месяцев</w:t>
            </w:r>
          </w:p>
        </w:tc>
        <w:tc>
          <w:tcPr>
            <w:tcW w:type="dxa" w:w="1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1 500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9 000</w:t>
            </w:r>
          </w:p>
        </w:tc>
      </w:tr>
      <w:tr>
        <w:trPr>
          <w:cantSplit/>
        </w:trPr>
        <w:tc>
          <w:tcPr>
            <w:tcW w:type="dxa" w:w="35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Домен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год</w:t>
            </w:r>
          </w:p>
        </w:tc>
        <w:tc>
          <w:tcPr>
            <w:tcW w:type="dxa" w:w="1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1 200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1 200</w:t>
            </w:r>
          </w:p>
        </w:tc>
      </w:tr>
      <w:tr>
        <w:trPr>
          <w:cantSplit/>
        </w:trPr>
        <w:tc>
          <w:tcPr>
            <w:tcW w:type="dxa" w:w="35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15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17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22 200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Цены — учебные допущения без внешнего подтверждения. React, Python и PostgreSQL не требуют оплаты лицензий в модели. Командировки не планируются. Повторного включения трудозатрат на развёртывание в прямые расходы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3"/>
        <w:gridCol w:w="3251"/>
      </w:tblGrid>
      <w:tr>
        <w:trPr>
          <w:cantSplit/>
          <w:tblHeader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Базовая оценка по прецедентам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1 366,00 ч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Итоговые трудозатраты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1 747,50 ч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Оценка для Боэма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8,6875 чел.-мес.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Расчётная продолжительность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5,14 месяца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Средняя загрузка всех работ при T Боэма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2,13 FTE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Средняя загрузка при плане 6 месяцев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1,82 FTE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Трудовая стоимость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2 035 930 руб.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Прямые расходы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22 200 руб.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Себестоимость проекта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2 058 130 руб.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Отдельный резерв бюджета 10%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205 813 руб.</w:t>
            </w:r>
          </w:p>
        </w:tc>
      </w:tr>
      <w:tr>
        <w:trPr>
          <w:cantSplit/>
        </w:trPr>
        <w:tc>
          <w:tcPr>
            <w:tcW w:type="dxa" w:w="52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Бюджет с резервом</w:t>
            </w:r>
          </w:p>
        </w:tc>
        <w:tc>
          <w:tcPr>
            <w:tcW w:type="dxa" w:w="32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2 263 943 руб.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Себестоимость = 2 035 930 + 22 200 = 2 058 130 руб. Резерв = себестоимость × 10%. Бюджет = себестоимость + резерв. Резерв не является понесённым расходом, не распределяется по ролям и не прибавляется повторно к трудозатратам.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Модель использует общую норму 160 часов на человеко-месяц и приближённую продолжительность. Она не доказывает выполнимость календарного плана: зависимости UC, доступность специалистов и контрольные вехи необходимо проверять при планировании спринтов.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8. Контроль модели и заключение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Порядок использования Excel книги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Вводимые значения выделены светло-жёлтым: ранги прецедентов, экспертные баллы, коэффициенты, доли, ставки и количество прямых расходов. Часы и итоги рассчитываются формулами. Изменение баллов автоматически обновляет рейтинг и список пяти главных рисков.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Руководитель проверяет соответствие итоговых часов сумме часов по ролям; доли основных работ должны давать единицу. В матрице компромиссов в каждой строке и столбце должна быть ровно одна единица. Ранги и экспертные баллы ограничены целыми значениями от 1 до 5.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Плановая стоимость отражает потребление труда, а не зарплату всех шести участников за весь срок проекта. Если нужна полная занятость на весь период, следует отдельно изменить план часов; нельзя умножать текущую себестоимость на число участников.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Проверки готовых материалов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Сверены все 24 ID, названия и исходные ранги с прежней лабораторной работой. База 1 366 часов проверена независимо через распределение по рангам. Сумма ролевых часов совпадает с общими трудозатратами, а себестоимость — с суммой трудовой стоимости и прямых расходов.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расчётном движке проверены изменения ранга UC-01, ставки backend-разработчика и экспертных оценок R-09. Зависимые результаты изменяются; после проверки восстановлены исходные значения. Выполнен поиск ошибок формул и визуальная проверка листов и отчёта. Итоги дополнительно пересчитаны в Microsoft Excel: трудозатраты, себестоимость, продолжительность и список главных рисков совпали с расчётной моделью.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АС «Студенты» сохраняет заказчика, сроки, методологию Scrum, шесть проектных ролей и весь исходный функциональный объём. Главные угрозы связаны со сроками, изменениями требований, соответствием функциональности, интеграцией и квалификацией. Для них заданы владельцы, сигналы и меры реагирования.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Расчёт по прецедентам даёт 1 366 часов основных работ и 1 747,50 часа с управлением, дополнительной документацией и внедрением. При выбранных учебных ставках себестоимость составляет 2 058 130 руб. Результат позволяет сравнивать изменения объёма и ресурсов; его следует уточнять после каждого спринта.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Использованные материалы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1. «2 сем. Задание для выполнения лабораторных работ.docx» — раздел лабораторной работы №2, алгоритм оценки и шкала часов.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2. Предыдущие лабораторные работы №1 и №2 АС «Студенты» — заказчик, команда, сроки, стек, 24 прецедента и ранги.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3. «ТЗ_База_студентов_колледжа.docx» — назначение и основные функции системы.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4. «lb_2.pdf» и «Расчет трудозатрат - TaskFlow.xlsx» — ориентиры структуры; данные проекта TaskFlow в расчёт не перенесены.</w:t>
      </w:r>
    </w:p>
    <w:p>
      <w:pPr>
        <w:pStyle w:val="Heading1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Приложение А Исходные экспертные баллы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Учебные оценки по шести ролям. РП — руководитель, ТЛ — тимлид/аналитик, BE — backend, FE — frontend, UX — дизайнер, QA — тестировщик. Каждый участник имеет одинаковый вес. Рейтинги рассчитаны по средним, а не по округлённым данным таблицы.</w:t>
      </w:r>
    </w:p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Вероятность 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РП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ТЛ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BE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FE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UX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QA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R-06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R-08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R-09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R-10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</w:tbl>
    <w:p>
      <w:pPr>
        <w:pStyle w:val="Heading2"/>
        <w:keepNext/>
        <w:pageBreakBefore w:val="0"/>
        <w:widowControl/>
        <w:spacing w:line="360" w:lineRule="auto" w:after="0" w:before="240"/>
        <w:ind w:firstLine="850" w:left="0"/>
        <w:jc w:val="left"/>
      </w:pPr>
      <w:r>
        <w:rPr>
          <w:rFonts w:ascii="Times New Roman" w:hAnsi="Times New Roman"/>
          <w:b/>
          <w:color w:val="000000"/>
          <w:sz w:val="28"/>
        </w:rPr>
        <w:t>Влияние 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РП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ТЛ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BE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FE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UX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QA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R-01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R-06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R-07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R-08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R-09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R-10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keepNext w:val="0"/>
              <w:widowControl/>
              <w:spacing w:after="0" w:before="0" w:line="36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</w:t>
            </w:r>
          </w:p>
        </w:tc>
      </w:tr>
    </w:tbl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Пример R-01: Pср = 25 / 6 = 4,1667; Iср = 28 / 6 = 4,6667; S = 19,4444. Пример R-05: Pср = 18 / 6 = 3; Iср = 24 / 6 = 4; S = 12. Полный рейтинг доступен в разделе 2 и на листе «Риски».</w:t>
      </w:r>
    </w:p>
    <w:p>
      <w:pPr>
        <w:pageBreakBefore w:val="0"/>
        <w:widowControl/>
        <w:spacing w:line="360" w:lineRule="auto" w:after="0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Шкала вероятности описывает степень ожидания события; её значения не следует интерпретировать как проценты. Оценки согласуются с выявленными зависимостями проекта и подлежат замене после реального опроса специалистов.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79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 w:before="0"/>
      <w:ind w:firstLine="85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850"/>
      <w:jc w:val="both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850"/>
      <w:jc w:val="both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850"/>
      <w:jc w:val="both"/>
      <w:outlineLvl w:val="2"/>
    </w:pPr>
    <w:rPr>
      <w:rFonts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0"/>
      <w:ind w:firstLine="850"/>
      <w:contextualSpacing/>
      <w:jc w:val="both"/>
    </w:pPr>
    <w:rPr>
      <w:rFonts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firstLine="850"/>
      <w:jc w:val="both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