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1)Изучаем архиваторы zip, bzip 2 и tar с помощью команды man.</w:t>
      </w:r>
    </w:p>
    <w:p>
      <w:pPr>
        <w:pStyle w:val="CaptionedFigure"/>
      </w:pPr>
      <w:bookmarkStart w:id="22" w:name="fig:001"/>
      <w:r>
        <w:drawing>
          <wp:inline>
            <wp:extent cx="5334000" cy="3943564"/>
            <wp:effectExtent b="0" l="0" r="0" t="0"/>
            <wp:docPr descr="Рис. 1: Архиватор zip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1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Архиватор zip</w:t>
      </w:r>
    </w:p>
    <w:p>
      <w:pPr>
        <w:pStyle w:val="CaptionedFigure"/>
      </w:pPr>
      <w:bookmarkStart w:id="24" w:name="fig:002"/>
      <w:r>
        <w:drawing>
          <wp:inline>
            <wp:extent cx="5334000" cy="3827220"/>
            <wp:effectExtent b="0" l="0" r="0" t="0"/>
            <wp:docPr descr="Рис. 2: Архиватор bzip2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13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Архиватор bzip2</w:t>
      </w:r>
    </w:p>
    <w:p>
      <w:pPr>
        <w:pStyle w:val="CaptionedFigure"/>
      </w:pPr>
      <w:bookmarkStart w:id="26" w:name="fig:003"/>
      <w:r>
        <w:drawing>
          <wp:inline>
            <wp:extent cx="5334000" cy="2885209"/>
            <wp:effectExtent b="0" l="0" r="0" t="0"/>
            <wp:docPr descr="Рис. 3: Архиватор tar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13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Архиватор tar</w:t>
      </w:r>
    </w:p>
    <w:p>
      <w:pPr>
        <w:pStyle w:val="BodyText"/>
      </w:pPr>
      <w:r>
        <w:t xml:space="preserve">Создаем файл, в котором будем писать скрипт и открываем emacs</w:t>
      </w:r>
    </w:p>
    <w:p>
      <w:pPr>
        <w:pStyle w:val="CaptionedFigure"/>
      </w:pPr>
      <w:bookmarkStart w:id="28" w:name="fig:004"/>
      <w:r>
        <w:drawing>
          <wp:inline>
            <wp:extent cx="5334000" cy="569290"/>
            <wp:effectExtent b="0" l="0" r="0" t="0"/>
            <wp:docPr descr="Рис. 4: Создание файла backup.sh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14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Создание файла backup.sh</w:t>
      </w:r>
    </w:p>
    <w:p>
      <w:pPr>
        <w:pStyle w:val="BodyText"/>
      </w:pPr>
      <w:r>
        <w:t xml:space="preserve">Пишем скрипт,который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</w:t>
      </w:r>
    </w:p>
    <w:p>
      <w:pPr>
        <w:pStyle w:val="CaptionedFigure"/>
      </w:pPr>
      <w:bookmarkStart w:id="30" w:name="fig:005"/>
      <w:r>
        <w:drawing>
          <wp:inline>
            <wp:extent cx="5334000" cy="4770782"/>
            <wp:effectExtent b="0" l="0" r="0" t="0"/>
            <wp:docPr descr="Рис. 5: Скрипт №1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20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Скрипт №1</w:t>
      </w:r>
    </w:p>
    <w:p>
      <w:pPr>
        <w:pStyle w:val="BodyText"/>
      </w:pPr>
      <w:r>
        <w:t xml:space="preserve">Проверяем работу скрипта, предварительно добавив для него право на выполнение</w:t>
      </w:r>
    </w:p>
    <w:p>
      <w:pPr>
        <w:pStyle w:val="CaptionedFigure"/>
      </w:pPr>
      <w:bookmarkStart w:id="32" w:name="fig:006"/>
      <w:r>
        <w:drawing>
          <wp:inline>
            <wp:extent cx="5334000" cy="183141"/>
            <wp:effectExtent b="0" l="0" r="0" t="0"/>
            <wp:docPr descr="Рис. 6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Проверка работы скрипта</w:t>
      </w:r>
    </w:p>
    <w:p>
      <w:pPr>
        <w:pStyle w:val="CaptionedFigure"/>
      </w:pPr>
      <w:bookmarkStart w:id="34" w:name="fig:007"/>
      <w:r>
        <w:drawing>
          <wp:inline>
            <wp:extent cx="5334000" cy="336240"/>
            <wp:effectExtent b="0" l="0" r="0" t="0"/>
            <wp:docPr descr="Рис. 7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Проверка работы скрипта</w:t>
      </w:r>
    </w:p>
    <w:p>
      <w:pPr>
        <w:pStyle w:val="CaptionedFigure"/>
      </w:pPr>
      <w:bookmarkStart w:id="36" w:name="fig:008"/>
      <w:r>
        <w:drawing>
          <wp:inline>
            <wp:extent cx="5334000" cy="1489511"/>
            <wp:effectExtent b="0" l="0" r="0" t="0"/>
            <wp:docPr descr="Рис.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3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Проверка работы скрипта</w:t>
      </w:r>
    </w:p>
    <w:p>
      <w:pPr>
        <w:pStyle w:val="BodyText"/>
      </w:pPr>
      <w:r>
        <w:t xml:space="preserve">2)Создаем файл, в котором будем писать второй скрипт и так же открываем его в emacs.</w:t>
      </w:r>
    </w:p>
    <w:p>
      <w:pPr>
        <w:pStyle w:val="CaptionedFigure"/>
      </w:pPr>
      <w:bookmarkStart w:id="38" w:name="fig:009"/>
      <w:r>
        <w:drawing>
          <wp:inline>
            <wp:extent cx="5334000" cy="296840"/>
            <wp:effectExtent b="0" l="0" r="0" t="0"/>
            <wp:docPr descr="Рис. 9: Создание файла prog2.sh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5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Создание файла prog2.sh</w:t>
      </w:r>
    </w:p>
    <w:p>
      <w:pPr>
        <w:pStyle w:val="BodyTex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CaptionedFigure"/>
      </w:pPr>
      <w:bookmarkStart w:id="40" w:name="fig:010"/>
      <w:r>
        <w:drawing>
          <wp:inline>
            <wp:extent cx="5334000" cy="2351548"/>
            <wp:effectExtent b="0" l="0" r="0" t="0"/>
            <wp:docPr descr="Рис. 10: Скрипт №2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Скрипт №2</w:t>
      </w:r>
    </w:p>
    <w:p>
      <w:pPr>
        <w:pStyle w:val="BodyText"/>
      </w:pPr>
      <w:r>
        <w:t xml:space="preserve">Проверил работу данного скрипта, предварительно добавив для него право на выполнение</w:t>
      </w:r>
    </w:p>
    <w:p>
      <w:pPr>
        <w:pStyle w:val="CaptionedFigure"/>
      </w:pPr>
      <w:bookmarkStart w:id="42" w:name="fig:011"/>
      <w:r>
        <w:drawing>
          <wp:inline>
            <wp:extent cx="5334000" cy="2895339"/>
            <wp:effectExtent b="0" l="0" r="0" t="0"/>
            <wp:docPr descr="Рис. 11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9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Проверка работы скрипта</w:t>
      </w:r>
    </w:p>
    <w:p>
      <w:pPr>
        <w:pStyle w:val="BodyText"/>
      </w:pPr>
      <w:r>
        <w:t xml:space="preserve">3)Создаем файл для третьего скрипта и открываем в редакторе emacs</w:t>
      </w:r>
    </w:p>
    <w:p>
      <w:pPr>
        <w:pStyle w:val="CaptionedFigure"/>
      </w:pPr>
      <w:bookmarkStart w:id="44" w:name="fig:0012"/>
      <w:r>
        <w:drawing>
          <wp:inline>
            <wp:extent cx="5334000" cy="394569"/>
            <wp:effectExtent b="0" l="0" r="0" t="0"/>
            <wp:docPr descr="Рис. 12: Создание файла progls.sh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9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Создание файла progls.sh</w:t>
      </w:r>
    </w:p>
    <w:p>
      <w:pPr>
        <w:pStyle w:val="BodyText"/>
      </w:pPr>
      <w:r>
        <w:t xml:space="preserve">Пишем командный файл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bookmarkStart w:id="46" w:name="fig:013"/>
      <w:r>
        <w:drawing>
          <wp:inline>
            <wp:extent cx="5334000" cy="4012360"/>
            <wp:effectExtent b="0" l="0" r="0" t="0"/>
            <wp:docPr descr="Рис. 13: Скрипт №3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44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Скрипт №3</w:t>
      </w:r>
    </w:p>
    <w:p>
      <w:pPr>
        <w:pStyle w:val="BodyText"/>
      </w:pPr>
      <w:r>
        <w:t xml:space="preserve">Далее проверяем работу скрипта, предварительно добавив для него право на выполнение</w:t>
      </w:r>
    </w:p>
    <w:p>
      <w:pPr>
        <w:pStyle w:val="CaptionedFigure"/>
      </w:pPr>
      <w:bookmarkStart w:id="48" w:name="fig:014"/>
      <w:r>
        <w:drawing>
          <wp:inline>
            <wp:extent cx="5334000" cy="4079209"/>
            <wp:effectExtent b="0" l="0" r="0" t="0"/>
            <wp:docPr descr="Рис. 14: Перемещение курсора в конец буфера обмен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46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Перемещение курсора в конец буфера обмена.</w:t>
      </w:r>
    </w:p>
    <w:p>
      <w:pPr>
        <w:pStyle w:val="BodyText"/>
      </w:pPr>
      <w:r>
        <w:t xml:space="preserve">4)Создаем файл для четвертого скрипта и открываем в редакторе emacs</w:t>
      </w:r>
    </w:p>
    <w:p>
      <w:pPr>
        <w:pStyle w:val="CaptionedFigure"/>
      </w:pPr>
      <w:bookmarkStart w:id="50" w:name="fig:015"/>
      <w:r>
        <w:drawing>
          <wp:inline>
            <wp:extent cx="5334000" cy="190338"/>
            <wp:effectExtent b="0" l="0" r="0" t="0"/>
            <wp:docPr descr="Рис. 15: Создание файла format.sh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4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Создание файла format.sh</w:t>
      </w:r>
    </w:p>
    <w:p>
      <w:pPr>
        <w:pStyle w:val="BodyText"/>
      </w:pPr>
      <w:r>
        <w:t xml:space="preserve">Пишем командный файл, который получает в качестве аргумента командной строки формат файла (.txt,.doc,.jpg,.pdfи т.д.) и вычисляет количество таких файлов в указанной директории. Путь к директории также передаётся в виде аргумента командной строки</w:t>
      </w:r>
    </w:p>
    <w:p>
      <w:pPr>
        <w:pStyle w:val="CaptionedFigure"/>
      </w:pPr>
      <w:bookmarkStart w:id="52" w:name="fig:016"/>
      <w:r>
        <w:drawing>
          <wp:inline>
            <wp:extent cx="5334000" cy="3779070"/>
            <wp:effectExtent b="0" l="0" r="0" t="0"/>
            <wp:docPr descr="Рис. 16: Скрипт №4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50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Скрипт №4</w:t>
      </w:r>
    </w:p>
    <w:p>
      <w:pPr>
        <w:pStyle w:val="BodyText"/>
      </w:pPr>
      <w:r>
        <w:t xml:space="preserve">Далее проверяем работу скрипта, предварительно добавив для него право на выполнение</w:t>
      </w:r>
    </w:p>
    <w:p>
      <w:pPr>
        <w:pStyle w:val="CaptionedFigure"/>
      </w:pPr>
      <w:bookmarkStart w:id="54" w:name="fig:017"/>
      <w:r>
        <w:drawing>
          <wp:inline>
            <wp:extent cx="5334000" cy="1398632"/>
            <wp:effectExtent b="0" l="0" r="0" t="0"/>
            <wp:docPr descr="Рис. 17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7-06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Проверка работы скрипта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SourceCode"/>
      </w:pPr>
      <w:r>
        <w:rPr>
          <w:rStyle w:val="VerbatimChar"/>
        </w:rP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  <w:r>
        <w:br/>
      </w:r>
      <w:r>
        <w:br/>
      </w:r>
      <w:r>
        <w:rPr>
          <w:rStyle w:val="VerbatimChar"/>
        </w:rP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  <w:r>
        <w:br/>
      </w:r>
      <w:r>
        <w:br/>
      </w:r>
      <w:r>
        <w:rPr>
          <w:rStyle w:val="VerbatimChar"/>
        </w:rP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br/>
      </w:r>
      <w:r>
        <w:br/>
      </w:r>
      <w:r>
        <w:rPr>
          <w:rStyle w:val="VerbatimChar"/>
        </w:rP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pStyle w:val="FirstParagraph"/>
      </w:pPr>
      <w:r>
        <w:t xml:space="preserve"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BodyText"/>
      </w:pPr>
      <w:r>
        <w:t xml:space="preserve"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6). 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7). Стандартные переменные:</w:t>
      </w:r>
    </w:p>
    <w:p>
      <w:pPr>
        <w:pStyle w:val="SourceCode"/>
      </w:pPr>
      <w:r>
        <w:rPr>
          <w:rStyle w:val="VerbatimChar"/>
        </w:rP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  <w:r>
        <w:br/>
      </w:r>
      <w:r>
        <w:br/>
      </w:r>
      <w:r>
        <w:rPr>
          <w:rStyle w:val="VerbatimChar"/>
        </w:rP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br/>
      </w:r>
      <w:r>
        <w:br/>
      </w:r>
      <w:r>
        <w:rPr>
          <w:rStyle w:val="VerbatimChar"/>
        </w:rP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  <w:r>
        <w:br/>
      </w:r>
      <w:r>
        <w:br/>
      </w:r>
      <w:r>
        <w:rPr>
          <w:rStyle w:val="VerbatimChar"/>
        </w:rP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  <w:r>
        <w:br/>
      </w:r>
      <w:r>
        <w:br/>
      </w:r>
      <w:r>
        <w:rPr>
          <w:rStyle w:val="VerbatimChar"/>
        </w:rP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  <w:r>
        <w:br/>
      </w:r>
      <w:r>
        <w:br/>
      </w:r>
      <w:r>
        <w:rPr>
          <w:rStyle w:val="VerbatimChar"/>
        </w:rPr>
        <w:t xml:space="preserve">TERM: тип используемого терминала.</w:t>
      </w:r>
      <w:r>
        <w:br/>
      </w:r>
      <w:r>
        <w:br/>
      </w:r>
      <w:r>
        <w:rPr>
          <w:rStyle w:val="VerbatimChar"/>
        </w:rP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FirstParagraph"/>
      </w:pPr>
      <w:r>
        <w:t xml:space="preserve">8). Такие символы, как ’ &lt; &gt; * ? | ”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p>
      <w:pPr>
        <w:pStyle w:val="BodyText"/>
      </w:pP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BodyText"/>
      </w:pPr>
      <w:r>
        <w:t xml:space="preserve"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t xml:space="preserve">15). Специальные переменные:</w:t>
      </w:r>
    </w:p>
    <w:p>
      <w:pPr>
        <w:pStyle w:val="SourceCode"/>
      </w:pPr>
      <w:r>
        <w:rPr>
          <w:rStyle w:val="VerbatimChar"/>
        </w:rPr>
        <w:t xml:space="preserve">$* −отображается вся командная строка или параметры оболочки;</w:t>
      </w:r>
      <w:r>
        <w:br/>
      </w:r>
      <w:r>
        <w:br/>
      </w:r>
      <w:r>
        <w:rPr>
          <w:rStyle w:val="VerbatimChar"/>
        </w:rPr>
        <w:t xml:space="preserve">$? −код завершения последней выполненной команды;</w:t>
      </w:r>
      <w:r>
        <w:br/>
      </w:r>
      <w:r>
        <w:br/>
      </w:r>
      <w:r>
        <w:rPr>
          <w:rStyle w:val="VerbatimChar"/>
        </w:rPr>
        <w:t xml:space="preserve">$$ −уникальный идентификатор процесса, в рамках которого выполняется командный процессор;</w:t>
      </w:r>
      <w:r>
        <w:br/>
      </w:r>
      <w:r>
        <w:br/>
      </w:r>
      <w:r>
        <w:rPr>
          <w:rStyle w:val="VerbatimChar"/>
        </w:rPr>
        <w:t xml:space="preserve">$! −номер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br/>
      </w:r>
      <w:r>
        <w:rPr>
          <w:rStyle w:val="VerbatimChar"/>
        </w:rPr>
        <w:t xml:space="preserve">$-−значение флагов командного процессора;</w:t>
      </w:r>
      <w:r>
        <w:br/>
      </w:r>
      <w:r>
        <w:br/>
      </w:r>
      <w:r>
        <w:rPr>
          <w:rStyle w:val="VerbatimChar"/>
        </w:rPr>
        <w:t xml:space="preserve">${#} −возвращает целое число −количествослов, которые были результатом $;</w:t>
      </w:r>
      <w:r>
        <w:br/>
      </w:r>
      <w:r>
        <w:br/>
      </w:r>
      <w:r>
        <w:rPr>
          <w:rStyle w:val="VerbatimChar"/>
        </w:rPr>
        <w:t xml:space="preserve">${#name} −возвращает целое значение длины строки в переменной name;</w:t>
      </w:r>
      <w:r>
        <w:br/>
      </w:r>
      <w:r>
        <w:br/>
      </w:r>
      <w:r>
        <w:rPr>
          <w:rStyle w:val="VerbatimChar"/>
        </w:rPr>
        <w:t xml:space="preserve">${name[n]} −обращение к n-му элементу массива;</w:t>
      </w:r>
      <w:r>
        <w:br/>
      </w:r>
      <w:r>
        <w:br/>
      </w:r>
      <w:r>
        <w:rPr>
          <w:rStyle w:val="VerbatimChar"/>
        </w:rPr>
        <w:t xml:space="preserve">${name[*]}−перечисляет все элементы массива, разделённые пробелом;</w:t>
      </w:r>
      <w:r>
        <w:br/>
      </w:r>
      <w:r>
        <w:br/>
      </w:r>
      <w:r>
        <w:rPr>
          <w:rStyle w:val="VerbatimChar"/>
        </w:rPr>
        <w:t xml:space="preserve">${name[@]}−то же самое, но позволяет учитывать символы пробелы в самих переменных;</w:t>
      </w:r>
      <w:r>
        <w:br/>
      </w:r>
      <w:r>
        <w:br/>
      </w:r>
      <w:r>
        <w:rPr>
          <w:rStyle w:val="VerbatimChar"/>
        </w:rPr>
        <w:t xml:space="preserve">${name:-value} −если значение переменной name не определено, то оно будет заменено на указанное value;</w:t>
      </w:r>
      <w:r>
        <w:br/>
      </w:r>
      <w:r>
        <w:br/>
      </w:r>
      <w:r>
        <w:rPr>
          <w:rStyle w:val="VerbatimChar"/>
        </w:rPr>
        <w:t xml:space="preserve">${name:value} −проверяется факт существования переменной;</w:t>
      </w:r>
      <w:r>
        <w:br/>
      </w:r>
      <w:r>
        <w:br/>
      </w:r>
      <w:r>
        <w:rPr>
          <w:rStyle w:val="VerbatimChar"/>
        </w:rPr>
        <w:t xml:space="preserve">${name=value} −если name не определено, то ему присваивается значение value;</w:t>
      </w:r>
      <w:r>
        <w:br/>
      </w:r>
      <w:r>
        <w:br/>
      </w:r>
      <w:r>
        <w:rPr>
          <w:rStyle w:val="VerbatimChar"/>
        </w:rPr>
        <w:t xml:space="preserve">${name?value} −останавливает выполнение, если имя переменной не определено, и выводит value как сообщение об ошибке;</w:t>
      </w:r>
      <w:r>
        <w:br/>
      </w:r>
      <w:r>
        <w:br/>
      </w:r>
      <w:r>
        <w:rPr>
          <w:rStyle w:val="VerbatimChar"/>
        </w:rPr>
        <w:t xml:space="preserve">${name+value} −это выражение работает противоположно ${name-value}. Если переменная определена, то подставляется value;</w:t>
      </w:r>
      <w:r>
        <w:br/>
      </w:r>
      <w:r>
        <w:br/>
      </w:r>
      <w:r>
        <w:rPr>
          <w:rStyle w:val="VerbatimChar"/>
        </w:rPr>
        <w:t xml:space="preserve">${name#pattern} −представляет значение переменной name с удалённым самым коротким левым образцом (pattern);</w:t>
      </w:r>
      <w:r>
        <w:br/>
      </w:r>
      <w:r>
        <w:br/>
      </w:r>
      <w:r>
        <w:rPr>
          <w:rStyle w:val="VerbatimChar"/>
        </w:rPr>
        <w:t xml:space="preserve">${#name[*]} и ${#name[@]}−эти выражения возвращают количество элементов в массиве name.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лабораторной работы я изучил основы программирования в оболочке ОС UNIX/Linux, научился писать небольшие командные файлы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Старков Никита Алексеевич</dc:creator>
  <dc:language>ru-RU</dc:language>
  <cp:keywords/>
  <dcterms:created xsi:type="dcterms:W3CDTF">2022-05-25T16:32:39Z</dcterms:created>
  <dcterms:modified xsi:type="dcterms:W3CDTF">2022-05-25T16:32:39Z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