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4C65C" w14:textId="77777777" w:rsidR="00C602F7" w:rsidRPr="00835D5C" w:rsidRDefault="005E6E5C">
      <w:pPr>
        <w:pStyle w:val="1"/>
        <w:rPr>
          <w:lang w:val="ru-RU"/>
        </w:rPr>
      </w:pPr>
      <w:bookmarkStart w:id="0" w:name="занятие-2.2-чек-лист-очистки-графика"/>
      <w:r w:rsidRPr="00835D5C">
        <w:rPr>
          <w:lang w:val="ru-RU"/>
        </w:rPr>
        <w:t>Занятие 2.2 · Чек-лист очистки графика</w:t>
      </w:r>
    </w:p>
    <w:p w14:paraId="6DCA8A4A" w14:textId="22AA1FE8" w:rsidR="00C602F7" w:rsidRPr="00835D5C" w:rsidRDefault="005E6E5C">
      <w:pPr>
        <w:pStyle w:val="FirstParagraph"/>
        <w:rPr>
          <w:lang w:val="ru-RU"/>
        </w:rPr>
      </w:pPr>
      <w:r w:rsidRPr="00835D5C">
        <w:rPr>
          <w:b/>
          <w:bCs/>
          <w:lang w:val="ru-RU"/>
        </w:rPr>
        <w:t>Задача:</w:t>
      </w:r>
      <w:r w:rsidRPr="00835D5C">
        <w:rPr>
          <w:lang w:val="ru-RU"/>
        </w:rPr>
        <w:t xml:space="preserve"> переработать график «до → после» так, чтобы сигнал читался быстрее, а необходимый контекст сохранялся. Data-ink ratio — ориентир для аудита, а не требование довести долю «чернил данных» до </w:t>
      </w:r>
      <m:oMath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0</m:t>
        </m:r>
      </m:oMath>
      <w:r w:rsidRPr="00835D5C">
        <w:rPr>
          <w:lang w:val="ru-RU"/>
        </w:rPr>
        <w:t xml:space="preserve">. Учебные проценты на диаграмме </w:t>
      </w:r>
      <w:r w:rsidR="00891E24">
        <w:rPr>
          <w:lang w:val="ru-RU"/>
        </w:rPr>
        <w:t xml:space="preserve">в презентации </w:t>
      </w:r>
      <w:r w:rsidRPr="00835D5C">
        <w:rPr>
          <w:lang w:val="ru-RU"/>
        </w:rPr>
        <w:t>условны; для своего графика достаточно качественной оценки.</w:t>
      </w:r>
    </w:p>
    <w:p w14:paraId="0E28350B" w14:textId="77777777" w:rsidR="00C602F7" w:rsidRPr="00835D5C" w:rsidRDefault="005E6E5C">
      <w:pPr>
        <w:pStyle w:val="2"/>
        <w:rPr>
          <w:lang w:val="ru-RU"/>
        </w:rPr>
      </w:pPr>
      <w:bookmarkStart w:id="1" w:name="шесть-шагов"/>
      <w:r w:rsidRPr="00835D5C">
        <w:rPr>
          <w:lang w:val="ru-RU"/>
        </w:rPr>
        <w:t>Шесть шагов</w:t>
      </w:r>
    </w:p>
    <w:p w14:paraId="378799B9" w14:textId="77777777" w:rsidR="00C602F7" w:rsidRPr="00835D5C" w:rsidRDefault="005E6E5C">
      <w:pPr>
        <w:pStyle w:val="Compact"/>
        <w:numPr>
          <w:ilvl w:val="0"/>
          <w:numId w:val="2"/>
        </w:numPr>
        <w:rPr>
          <w:lang w:val="ru-RU"/>
        </w:rPr>
      </w:pPr>
      <w:r w:rsidRPr="00835D5C">
        <w:rPr>
          <w:lang w:val="ru-RU"/>
        </w:rPr>
        <w:t xml:space="preserve">☐ </w:t>
      </w:r>
      <w:r w:rsidRPr="00835D5C">
        <w:rPr>
          <w:b/>
          <w:bCs/>
          <w:lang w:val="ru-RU"/>
        </w:rPr>
        <w:t>Инвентаризация.</w:t>
      </w:r>
      <w:r w:rsidRPr="00835D5C">
        <w:rPr>
          <w:lang w:val="ru-RU"/>
        </w:rPr>
        <w:t xml:space="preserve"> Перечислить все элементы графика: данные, подписи, заголовок, сетку, рамки, легенду, цвета, эффекты. Ничего не удалять до завершения списка.</w:t>
      </w:r>
    </w:p>
    <w:p w14:paraId="682126EC" w14:textId="77777777" w:rsidR="00C602F7" w:rsidRPr="00835D5C" w:rsidRDefault="005E6E5C">
      <w:pPr>
        <w:pStyle w:val="Compact"/>
        <w:numPr>
          <w:ilvl w:val="0"/>
          <w:numId w:val="2"/>
        </w:numPr>
        <w:rPr>
          <w:lang w:val="ru-RU"/>
        </w:rPr>
      </w:pPr>
      <w:r w:rsidRPr="00835D5C">
        <w:rPr>
          <w:lang w:val="ru-RU"/>
        </w:rPr>
        <w:t xml:space="preserve">☐ </w:t>
      </w:r>
      <w:r w:rsidRPr="00835D5C">
        <w:rPr>
          <w:b/>
          <w:bCs/>
          <w:lang w:val="ru-RU"/>
        </w:rPr>
        <w:t>Классификация.</w:t>
      </w:r>
      <w:r w:rsidRPr="00835D5C">
        <w:rPr>
          <w:lang w:val="ru-RU"/>
        </w:rPr>
        <w:t xml:space="preserve"> Отметить элементы, передающие данные (например, столбцы, точки, подписи значений), элементы оформления и спорные элементы. Вопрос первого уровня: «Изменится ли элемент, если изменятся данные?» Вопрос второго уровня: «Помогает ли он читать данные?» Не удалять функциональный контекст только потому, что он не является «чернилами данных».</w:t>
      </w:r>
    </w:p>
    <w:p w14:paraId="5ADF07F8" w14:textId="77777777" w:rsidR="00C602F7" w:rsidRPr="00835D5C" w:rsidRDefault="005E6E5C">
      <w:pPr>
        <w:pStyle w:val="Compact"/>
        <w:numPr>
          <w:ilvl w:val="0"/>
          <w:numId w:val="2"/>
        </w:numPr>
        <w:rPr>
          <w:lang w:val="ru-RU"/>
        </w:rPr>
      </w:pPr>
      <w:r w:rsidRPr="00835D5C">
        <w:rPr>
          <w:lang w:val="ru-RU"/>
        </w:rPr>
        <w:t xml:space="preserve">☐ </w:t>
      </w:r>
      <w:r w:rsidRPr="00835D5C">
        <w:rPr>
          <w:b/>
          <w:bCs/>
          <w:lang w:val="ru-RU"/>
        </w:rPr>
        <w:t>Удаление безусловного мусора.</w:t>
      </w:r>
      <w:r w:rsidRPr="00835D5C">
        <w:rPr>
          <w:lang w:val="ru-RU"/>
        </w:rPr>
        <w:t xml:space="preserve"> Убрать 3D-эффекты, декоративные тени и рамки, которые не отделяют функциональные области; записать причину каждого удаления.</w:t>
      </w:r>
    </w:p>
    <w:p w14:paraId="3941A5F0" w14:textId="77777777" w:rsidR="00C602F7" w:rsidRPr="00835D5C" w:rsidRDefault="005E6E5C">
      <w:pPr>
        <w:pStyle w:val="Compact"/>
        <w:numPr>
          <w:ilvl w:val="0"/>
          <w:numId w:val="2"/>
        </w:numPr>
        <w:rPr>
          <w:lang w:val="ru-RU"/>
        </w:rPr>
      </w:pPr>
      <w:r w:rsidRPr="00835D5C">
        <w:rPr>
          <w:lang w:val="ru-RU"/>
        </w:rPr>
        <w:t xml:space="preserve">☐ </w:t>
      </w:r>
      <w:r w:rsidRPr="00835D5C">
        <w:rPr>
          <w:b/>
          <w:bCs/>
          <w:lang w:val="ru-RU"/>
        </w:rPr>
        <w:t>Работа с сеткой.</w:t>
      </w:r>
      <w:r w:rsidRPr="00835D5C">
        <w:rPr>
          <w:lang w:val="ru-RU"/>
        </w:rPr>
        <w:t xml:space="preserve"> Если прямые подписи уже позволяют сравнить величины, убрать сетку; если она нужна для сравнения, сделать ее редкой, бледной и расположить за данными. Зафиксировать условие выбранного решения.</w:t>
      </w:r>
    </w:p>
    <w:p w14:paraId="2687B0CB" w14:textId="77777777" w:rsidR="00C602F7" w:rsidRPr="00835D5C" w:rsidRDefault="005E6E5C">
      <w:pPr>
        <w:pStyle w:val="Compact"/>
        <w:numPr>
          <w:ilvl w:val="0"/>
          <w:numId w:val="2"/>
        </w:numPr>
        <w:rPr>
          <w:lang w:val="ru-RU"/>
        </w:rPr>
      </w:pPr>
      <w:r w:rsidRPr="00835D5C">
        <w:rPr>
          <w:lang w:val="ru-RU"/>
        </w:rPr>
        <w:t xml:space="preserve">☐ </w:t>
      </w:r>
      <w:r w:rsidRPr="00835D5C">
        <w:rPr>
          <w:b/>
          <w:bCs/>
          <w:lang w:val="ru-RU"/>
        </w:rPr>
        <w:t>Легенда и подписи.</w:t>
      </w:r>
      <w:r w:rsidRPr="00835D5C">
        <w:rPr>
          <w:lang w:val="ru-RU"/>
        </w:rPr>
        <w:t xml:space="preserve"> При небольшом числе серий заменить удаленную легенду прямыми подписями. При большом числе серий, если подписи мешают друг другу, сохранить близко расположенную легенду.</w:t>
      </w:r>
    </w:p>
    <w:p w14:paraId="3E9635F6" w14:textId="77777777" w:rsidR="00C602F7" w:rsidRPr="00835D5C" w:rsidRDefault="005E6E5C">
      <w:pPr>
        <w:pStyle w:val="Compact"/>
        <w:numPr>
          <w:ilvl w:val="0"/>
          <w:numId w:val="2"/>
        </w:numPr>
        <w:rPr>
          <w:lang w:val="ru-RU"/>
        </w:rPr>
      </w:pPr>
      <w:r w:rsidRPr="00835D5C">
        <w:rPr>
          <w:lang w:val="ru-RU"/>
        </w:rPr>
        <w:t xml:space="preserve">☐ </w:t>
      </w:r>
      <w:r w:rsidRPr="00835D5C">
        <w:rPr>
          <w:b/>
          <w:bCs/>
          <w:lang w:val="ru-RU"/>
        </w:rPr>
        <w:t>Цвет.</w:t>
      </w:r>
      <w:r w:rsidRPr="00835D5C">
        <w:rPr>
          <w:lang w:val="ru-RU"/>
        </w:rPr>
        <w:t xml:space="preserve"> Убрать радужные декоративные заливки; использовать нейтральную базу и один фокусный цвет для важного сигнала. Сохранить семантические цвета статусов и дублирование кодировок, если они нужны для доступности или чтения; убрать лишь избыточное украшение.</w:t>
      </w:r>
    </w:p>
    <w:p w14:paraId="23A0EC85" w14:textId="77777777" w:rsidR="00C602F7" w:rsidRPr="00835D5C" w:rsidRDefault="005E6E5C">
      <w:pPr>
        <w:pStyle w:val="2"/>
        <w:rPr>
          <w:lang w:val="ru-RU"/>
        </w:rPr>
      </w:pPr>
      <w:bookmarkStart w:id="2" w:name="карта-решений-при-аудите"/>
      <w:bookmarkEnd w:id="1"/>
      <w:r w:rsidRPr="00835D5C">
        <w:rPr>
          <w:lang w:val="ru-RU"/>
        </w:rPr>
        <w:t>Карта решений при аудите</w:t>
      </w:r>
    </w:p>
    <w:tbl>
      <w:tblPr>
        <w:tblStyle w:val="af1"/>
        <w:tblW w:w="0" w:type="auto"/>
        <w:tblLook w:val="0020" w:firstRow="1" w:lastRow="0" w:firstColumn="0" w:lastColumn="0" w:noHBand="0" w:noVBand="0"/>
      </w:tblPr>
      <w:tblGrid>
        <w:gridCol w:w="1778"/>
        <w:gridCol w:w="4227"/>
        <w:gridCol w:w="4466"/>
      </w:tblGrid>
      <w:tr w:rsidR="00C602F7" w:rsidRPr="00835D5C" w14:paraId="09BBE747" w14:textId="77777777" w:rsidTr="00835D5C">
        <w:tc>
          <w:tcPr>
            <w:tcW w:w="0" w:type="auto"/>
          </w:tcPr>
          <w:p w14:paraId="6F9E6F19" w14:textId="77777777" w:rsidR="00C602F7" w:rsidRPr="00835D5C" w:rsidRDefault="005E6E5C">
            <w:pPr>
              <w:pStyle w:val="Compact"/>
              <w:rPr>
                <w:sz w:val="20"/>
                <w:szCs w:val="20"/>
                <w:lang w:val="ru-RU"/>
              </w:rPr>
            </w:pPr>
            <w:r w:rsidRPr="00835D5C">
              <w:rPr>
                <w:sz w:val="20"/>
                <w:szCs w:val="20"/>
                <w:lang w:val="ru-RU"/>
              </w:rPr>
              <w:t>Элемент</w:t>
            </w:r>
          </w:p>
        </w:tc>
        <w:tc>
          <w:tcPr>
            <w:tcW w:w="0" w:type="auto"/>
          </w:tcPr>
          <w:p w14:paraId="2C19088C" w14:textId="77777777" w:rsidR="00C602F7" w:rsidRPr="00835D5C" w:rsidRDefault="005E6E5C">
            <w:pPr>
              <w:pStyle w:val="Compact"/>
              <w:rPr>
                <w:sz w:val="20"/>
                <w:szCs w:val="20"/>
                <w:lang w:val="ru-RU"/>
              </w:rPr>
            </w:pPr>
            <w:r w:rsidRPr="00835D5C">
              <w:rPr>
                <w:sz w:val="20"/>
                <w:szCs w:val="20"/>
                <w:lang w:val="ru-RU"/>
              </w:rPr>
              <w:t>Что проверить</w:t>
            </w:r>
          </w:p>
        </w:tc>
        <w:tc>
          <w:tcPr>
            <w:tcW w:w="0" w:type="auto"/>
          </w:tcPr>
          <w:p w14:paraId="57699D14" w14:textId="77777777" w:rsidR="00C602F7" w:rsidRPr="00835D5C" w:rsidRDefault="005E6E5C">
            <w:pPr>
              <w:pStyle w:val="Compact"/>
              <w:rPr>
                <w:sz w:val="20"/>
                <w:szCs w:val="20"/>
                <w:lang w:val="ru-RU"/>
              </w:rPr>
            </w:pPr>
            <w:r w:rsidRPr="00835D5C">
              <w:rPr>
                <w:sz w:val="20"/>
                <w:szCs w:val="20"/>
                <w:lang w:val="ru-RU"/>
              </w:rPr>
              <w:t>Обычное решение</w:t>
            </w:r>
          </w:p>
        </w:tc>
      </w:tr>
      <w:tr w:rsidR="00C602F7" w:rsidRPr="00835D5C" w14:paraId="4CEAD033" w14:textId="77777777" w:rsidTr="00835D5C">
        <w:tc>
          <w:tcPr>
            <w:tcW w:w="0" w:type="auto"/>
          </w:tcPr>
          <w:p w14:paraId="08A44E90" w14:textId="77777777" w:rsidR="00C602F7" w:rsidRPr="00835D5C" w:rsidRDefault="005E6E5C">
            <w:pPr>
              <w:pStyle w:val="Compact"/>
              <w:rPr>
                <w:sz w:val="20"/>
                <w:szCs w:val="20"/>
                <w:lang w:val="ru-RU"/>
              </w:rPr>
            </w:pPr>
            <w:r w:rsidRPr="00835D5C">
              <w:rPr>
                <w:sz w:val="20"/>
                <w:szCs w:val="20"/>
                <w:lang w:val="ru-RU"/>
              </w:rPr>
              <w:t>3D и тени</w:t>
            </w:r>
          </w:p>
        </w:tc>
        <w:tc>
          <w:tcPr>
            <w:tcW w:w="0" w:type="auto"/>
          </w:tcPr>
          <w:p w14:paraId="22668D88" w14:textId="77777777" w:rsidR="00C602F7" w:rsidRPr="00835D5C" w:rsidRDefault="005E6E5C">
            <w:pPr>
              <w:pStyle w:val="Compact"/>
              <w:rPr>
                <w:sz w:val="20"/>
                <w:szCs w:val="20"/>
                <w:lang w:val="ru-RU"/>
              </w:rPr>
            </w:pPr>
            <w:r w:rsidRPr="00835D5C">
              <w:rPr>
                <w:sz w:val="20"/>
                <w:szCs w:val="20"/>
                <w:lang w:val="ru-RU"/>
              </w:rPr>
              <w:t>Искажают ли пропорции или отвлекают от значений?</w:t>
            </w:r>
          </w:p>
        </w:tc>
        <w:tc>
          <w:tcPr>
            <w:tcW w:w="0" w:type="auto"/>
          </w:tcPr>
          <w:p w14:paraId="53505C1E" w14:textId="77777777" w:rsidR="00C602F7" w:rsidRPr="00835D5C" w:rsidRDefault="005E6E5C">
            <w:pPr>
              <w:pStyle w:val="Compact"/>
              <w:rPr>
                <w:sz w:val="20"/>
                <w:szCs w:val="20"/>
                <w:lang w:val="ru-RU"/>
              </w:rPr>
            </w:pPr>
            <w:r w:rsidRPr="00835D5C">
              <w:rPr>
                <w:sz w:val="20"/>
                <w:szCs w:val="20"/>
                <w:lang w:val="ru-RU"/>
              </w:rPr>
              <w:t>Удалить декоративные эффекты</w:t>
            </w:r>
          </w:p>
        </w:tc>
      </w:tr>
      <w:tr w:rsidR="00C602F7" w:rsidRPr="00891E24" w14:paraId="0567AF89" w14:textId="77777777" w:rsidTr="00835D5C">
        <w:tc>
          <w:tcPr>
            <w:tcW w:w="0" w:type="auto"/>
          </w:tcPr>
          <w:p w14:paraId="6742248B" w14:textId="77777777" w:rsidR="00C602F7" w:rsidRPr="00835D5C" w:rsidRDefault="005E6E5C">
            <w:pPr>
              <w:pStyle w:val="Compact"/>
              <w:rPr>
                <w:sz w:val="20"/>
                <w:szCs w:val="20"/>
                <w:lang w:val="ru-RU"/>
              </w:rPr>
            </w:pPr>
            <w:r w:rsidRPr="00835D5C">
              <w:rPr>
                <w:sz w:val="20"/>
                <w:szCs w:val="20"/>
                <w:lang w:val="ru-RU"/>
              </w:rPr>
              <w:t>Рамка</w:t>
            </w:r>
          </w:p>
        </w:tc>
        <w:tc>
          <w:tcPr>
            <w:tcW w:w="0" w:type="auto"/>
          </w:tcPr>
          <w:p w14:paraId="6F80D78A" w14:textId="77777777" w:rsidR="00C602F7" w:rsidRPr="00835D5C" w:rsidRDefault="005E6E5C">
            <w:pPr>
              <w:pStyle w:val="Compact"/>
              <w:rPr>
                <w:sz w:val="20"/>
                <w:szCs w:val="20"/>
                <w:lang w:val="ru-RU"/>
              </w:rPr>
            </w:pPr>
            <w:r w:rsidRPr="00835D5C">
              <w:rPr>
                <w:sz w:val="20"/>
                <w:szCs w:val="20"/>
                <w:lang w:val="ru-RU"/>
              </w:rPr>
              <w:t>Разделяет ли функциональные области?</w:t>
            </w:r>
          </w:p>
        </w:tc>
        <w:tc>
          <w:tcPr>
            <w:tcW w:w="0" w:type="auto"/>
          </w:tcPr>
          <w:p w14:paraId="3CD9AA51" w14:textId="77777777" w:rsidR="00C602F7" w:rsidRPr="00835D5C" w:rsidRDefault="005E6E5C">
            <w:pPr>
              <w:pStyle w:val="Compact"/>
              <w:rPr>
                <w:sz w:val="20"/>
                <w:szCs w:val="20"/>
                <w:lang w:val="ru-RU"/>
              </w:rPr>
            </w:pPr>
            <w:r w:rsidRPr="00835D5C">
              <w:rPr>
                <w:sz w:val="20"/>
                <w:szCs w:val="20"/>
                <w:lang w:val="ru-RU"/>
              </w:rPr>
              <w:t>Удалить нефункциональную рамку; оставить нужную границу</w:t>
            </w:r>
          </w:p>
        </w:tc>
      </w:tr>
      <w:tr w:rsidR="00C602F7" w:rsidRPr="00835D5C" w14:paraId="428E0598" w14:textId="77777777" w:rsidTr="00835D5C">
        <w:tc>
          <w:tcPr>
            <w:tcW w:w="0" w:type="auto"/>
          </w:tcPr>
          <w:p w14:paraId="75C5C088" w14:textId="77777777" w:rsidR="00C602F7" w:rsidRPr="00835D5C" w:rsidRDefault="005E6E5C">
            <w:pPr>
              <w:pStyle w:val="Compact"/>
              <w:rPr>
                <w:sz w:val="20"/>
                <w:szCs w:val="20"/>
                <w:lang w:val="ru-RU"/>
              </w:rPr>
            </w:pPr>
            <w:r w:rsidRPr="00835D5C">
              <w:rPr>
                <w:sz w:val="20"/>
                <w:szCs w:val="20"/>
                <w:lang w:val="ru-RU"/>
              </w:rPr>
              <w:t>Сетка</w:t>
            </w:r>
          </w:p>
        </w:tc>
        <w:tc>
          <w:tcPr>
            <w:tcW w:w="0" w:type="auto"/>
          </w:tcPr>
          <w:p w14:paraId="3E78103A" w14:textId="77777777" w:rsidR="00C602F7" w:rsidRPr="00835D5C" w:rsidRDefault="005E6E5C">
            <w:pPr>
              <w:pStyle w:val="Compact"/>
              <w:rPr>
                <w:sz w:val="20"/>
                <w:szCs w:val="20"/>
                <w:lang w:val="ru-RU"/>
              </w:rPr>
            </w:pPr>
            <w:r w:rsidRPr="00835D5C">
              <w:rPr>
                <w:sz w:val="20"/>
                <w:szCs w:val="20"/>
                <w:lang w:val="ru-RU"/>
              </w:rPr>
              <w:t>Нужна ли для сравнения при имеющихся подписях?</w:t>
            </w:r>
          </w:p>
        </w:tc>
        <w:tc>
          <w:tcPr>
            <w:tcW w:w="0" w:type="auto"/>
          </w:tcPr>
          <w:p w14:paraId="1F134D6D" w14:textId="77777777" w:rsidR="00C602F7" w:rsidRPr="00835D5C" w:rsidRDefault="005E6E5C">
            <w:pPr>
              <w:pStyle w:val="Compact"/>
              <w:rPr>
                <w:sz w:val="20"/>
                <w:szCs w:val="20"/>
                <w:lang w:val="ru-RU"/>
              </w:rPr>
            </w:pPr>
            <w:r w:rsidRPr="00835D5C">
              <w:rPr>
                <w:sz w:val="20"/>
                <w:szCs w:val="20"/>
                <w:lang w:val="ru-RU"/>
              </w:rPr>
              <w:t>Убрать или ослабить</w:t>
            </w:r>
          </w:p>
        </w:tc>
      </w:tr>
      <w:tr w:rsidR="00C602F7" w:rsidRPr="00891E24" w14:paraId="64812F8D" w14:textId="77777777" w:rsidTr="00835D5C">
        <w:tc>
          <w:tcPr>
            <w:tcW w:w="0" w:type="auto"/>
          </w:tcPr>
          <w:p w14:paraId="5D797E7F" w14:textId="77777777" w:rsidR="00C602F7" w:rsidRPr="00835D5C" w:rsidRDefault="005E6E5C">
            <w:pPr>
              <w:pStyle w:val="Compact"/>
              <w:rPr>
                <w:sz w:val="20"/>
                <w:szCs w:val="20"/>
                <w:lang w:val="ru-RU"/>
              </w:rPr>
            </w:pPr>
            <w:r w:rsidRPr="00835D5C">
              <w:rPr>
                <w:sz w:val="20"/>
                <w:szCs w:val="20"/>
                <w:lang w:val="ru-RU"/>
              </w:rPr>
              <w:t>Легенда</w:t>
            </w:r>
          </w:p>
        </w:tc>
        <w:tc>
          <w:tcPr>
            <w:tcW w:w="0" w:type="auto"/>
          </w:tcPr>
          <w:p w14:paraId="18F6A5A8" w14:textId="77777777" w:rsidR="00C602F7" w:rsidRPr="00835D5C" w:rsidRDefault="005E6E5C">
            <w:pPr>
              <w:pStyle w:val="Compact"/>
              <w:rPr>
                <w:sz w:val="20"/>
                <w:szCs w:val="20"/>
                <w:lang w:val="ru-RU"/>
              </w:rPr>
            </w:pPr>
            <w:r w:rsidRPr="00835D5C">
              <w:rPr>
                <w:sz w:val="20"/>
                <w:szCs w:val="20"/>
                <w:lang w:val="ru-RU"/>
              </w:rPr>
              <w:t>Можно ли заменить прямыми подписями без наложений?</w:t>
            </w:r>
          </w:p>
        </w:tc>
        <w:tc>
          <w:tcPr>
            <w:tcW w:w="0" w:type="auto"/>
          </w:tcPr>
          <w:p w14:paraId="493DD780" w14:textId="77777777" w:rsidR="00C602F7" w:rsidRPr="00835D5C" w:rsidRDefault="005E6E5C">
            <w:pPr>
              <w:pStyle w:val="Compact"/>
              <w:rPr>
                <w:sz w:val="20"/>
                <w:szCs w:val="20"/>
                <w:lang w:val="ru-RU"/>
              </w:rPr>
            </w:pPr>
            <w:r w:rsidRPr="00835D5C">
              <w:rPr>
                <w:sz w:val="20"/>
                <w:szCs w:val="20"/>
                <w:lang w:val="ru-RU"/>
              </w:rPr>
              <w:t>Заменить; при множестве серий оставить рядом с графиком</w:t>
            </w:r>
          </w:p>
        </w:tc>
      </w:tr>
      <w:tr w:rsidR="00C602F7" w:rsidRPr="00891E24" w14:paraId="19C34AE0" w14:textId="77777777" w:rsidTr="00835D5C">
        <w:tc>
          <w:tcPr>
            <w:tcW w:w="0" w:type="auto"/>
          </w:tcPr>
          <w:p w14:paraId="4B0A1D32" w14:textId="77777777" w:rsidR="00C602F7" w:rsidRPr="00835D5C" w:rsidRDefault="005E6E5C">
            <w:pPr>
              <w:pStyle w:val="Compact"/>
              <w:rPr>
                <w:sz w:val="20"/>
                <w:szCs w:val="20"/>
                <w:lang w:val="ru-RU"/>
              </w:rPr>
            </w:pPr>
            <w:r w:rsidRPr="00835D5C">
              <w:rPr>
                <w:sz w:val="20"/>
                <w:szCs w:val="20"/>
                <w:lang w:val="ru-RU"/>
              </w:rPr>
              <w:t>Палитра</w:t>
            </w:r>
          </w:p>
        </w:tc>
        <w:tc>
          <w:tcPr>
            <w:tcW w:w="0" w:type="auto"/>
          </w:tcPr>
          <w:p w14:paraId="5E0EF35C" w14:textId="77777777" w:rsidR="00C602F7" w:rsidRPr="00835D5C" w:rsidRDefault="005E6E5C">
            <w:pPr>
              <w:pStyle w:val="Compact"/>
              <w:rPr>
                <w:sz w:val="20"/>
                <w:szCs w:val="20"/>
                <w:lang w:val="ru-RU"/>
              </w:rPr>
            </w:pPr>
            <w:r w:rsidRPr="00835D5C">
              <w:rPr>
                <w:sz w:val="20"/>
                <w:szCs w:val="20"/>
                <w:lang w:val="ru-RU"/>
              </w:rPr>
              <w:t>Есть ли смысл у каждого цвета?</w:t>
            </w:r>
          </w:p>
        </w:tc>
        <w:tc>
          <w:tcPr>
            <w:tcW w:w="0" w:type="auto"/>
          </w:tcPr>
          <w:p w14:paraId="7E9AF559" w14:textId="77777777" w:rsidR="00C602F7" w:rsidRPr="00835D5C" w:rsidRDefault="005E6E5C">
            <w:pPr>
              <w:pStyle w:val="Compact"/>
              <w:rPr>
                <w:sz w:val="20"/>
                <w:szCs w:val="20"/>
                <w:lang w:val="ru-RU"/>
              </w:rPr>
            </w:pPr>
            <w:r w:rsidRPr="00835D5C">
              <w:rPr>
                <w:sz w:val="20"/>
                <w:szCs w:val="20"/>
                <w:lang w:val="ru-RU"/>
              </w:rPr>
              <w:t>Убрать декоративные различия; сохранить смысловой акцент</w:t>
            </w:r>
          </w:p>
        </w:tc>
      </w:tr>
      <w:tr w:rsidR="00C602F7" w:rsidRPr="00835D5C" w14:paraId="75171767" w14:textId="77777777" w:rsidTr="00835D5C">
        <w:tc>
          <w:tcPr>
            <w:tcW w:w="0" w:type="auto"/>
          </w:tcPr>
          <w:p w14:paraId="741C2A72" w14:textId="77777777" w:rsidR="00C602F7" w:rsidRPr="00835D5C" w:rsidRDefault="005E6E5C">
            <w:pPr>
              <w:pStyle w:val="Compact"/>
              <w:rPr>
                <w:sz w:val="20"/>
                <w:szCs w:val="20"/>
                <w:lang w:val="ru-RU"/>
              </w:rPr>
            </w:pPr>
            <w:r w:rsidRPr="00835D5C">
              <w:rPr>
                <w:sz w:val="20"/>
                <w:szCs w:val="20"/>
                <w:lang w:val="ru-RU"/>
              </w:rPr>
              <w:t>Заголовок и единицы</w:t>
            </w:r>
          </w:p>
        </w:tc>
        <w:tc>
          <w:tcPr>
            <w:tcW w:w="0" w:type="auto"/>
          </w:tcPr>
          <w:p w14:paraId="779544A8" w14:textId="77777777" w:rsidR="00C602F7" w:rsidRPr="00835D5C" w:rsidRDefault="005E6E5C">
            <w:pPr>
              <w:pStyle w:val="Compact"/>
              <w:rPr>
                <w:sz w:val="20"/>
                <w:szCs w:val="20"/>
                <w:lang w:val="ru-RU"/>
              </w:rPr>
            </w:pPr>
            <w:r w:rsidRPr="00835D5C">
              <w:rPr>
                <w:sz w:val="20"/>
                <w:szCs w:val="20"/>
                <w:lang w:val="ru-RU"/>
              </w:rPr>
              <w:t>Потеряется ли без них смысл графика?</w:t>
            </w:r>
          </w:p>
        </w:tc>
        <w:tc>
          <w:tcPr>
            <w:tcW w:w="0" w:type="auto"/>
          </w:tcPr>
          <w:p w14:paraId="3477DAF1" w14:textId="77777777" w:rsidR="00C602F7" w:rsidRPr="00835D5C" w:rsidRDefault="005E6E5C">
            <w:pPr>
              <w:pStyle w:val="Compact"/>
              <w:rPr>
                <w:sz w:val="20"/>
                <w:szCs w:val="20"/>
                <w:lang w:val="ru-RU"/>
              </w:rPr>
            </w:pPr>
            <w:r w:rsidRPr="00835D5C">
              <w:rPr>
                <w:sz w:val="20"/>
                <w:szCs w:val="20"/>
                <w:lang w:val="ru-RU"/>
              </w:rPr>
              <w:t>Сохранить необходимый контекст</w:t>
            </w:r>
          </w:p>
        </w:tc>
      </w:tr>
    </w:tbl>
    <w:p w14:paraId="11E9D20B" w14:textId="77777777" w:rsidR="00C602F7" w:rsidRPr="00835D5C" w:rsidRDefault="005E6E5C">
      <w:pPr>
        <w:pStyle w:val="a0"/>
        <w:rPr>
          <w:lang w:val="ru-RU"/>
        </w:rPr>
      </w:pPr>
      <w:r w:rsidRPr="00835D5C">
        <w:rPr>
          <w:b/>
          <w:bCs/>
          <w:lang w:val="ru-RU"/>
        </w:rPr>
        <w:t>Контроль после шестого шага:</w:t>
      </w:r>
      <w:r w:rsidRPr="00835D5C">
        <w:rPr>
          <w:lang w:val="ru-RU"/>
        </w:rPr>
        <w:t xml:space="preserve"> читается ли главный сигнал за 3–5 секунд? Не исчезли ли заголовок, подписи осей, единицы измерения или другой нужный контекст? Если ответ «нет», верните </w:t>
      </w:r>
      <w:r w:rsidRPr="00835D5C">
        <w:rPr>
          <w:lang w:val="ru-RU"/>
        </w:rPr>
        <w:lastRenderedPageBreak/>
        <w:t>необходимый элемент и зафиксируйте причину. Цель — обоснованное решение, а не удаление всех элементов оформления.</w:t>
      </w:r>
    </w:p>
    <w:p w14:paraId="522B9AC8" w14:textId="77777777" w:rsidR="00C602F7" w:rsidRPr="00835D5C" w:rsidRDefault="005E6E5C">
      <w:pPr>
        <w:pStyle w:val="a0"/>
        <w:rPr>
          <w:lang w:val="ru-RU"/>
        </w:rPr>
      </w:pPr>
      <w:r w:rsidRPr="00835D5C">
        <w:rPr>
          <w:b/>
          <w:bCs/>
          <w:lang w:val="ru-RU"/>
        </w:rPr>
        <w:t>Для самостоятельной работы:</w:t>
      </w:r>
      <w:r w:rsidRPr="00835D5C">
        <w:rPr>
          <w:lang w:val="ru-RU"/>
        </w:rPr>
        <w:t xml:space="preserve"> выбрать график своего трека; если его еще нет — условный макет занятия. Сохранить скриншоты «до» и «после», список 5–7 удаленных элементов с обоснованиями, условия для спорных решений и качественную оценку изменения доли не-данных элементов. Срок — к занятию 2.3, 10.10.2026.</w:t>
      </w:r>
    </w:p>
    <w:p w14:paraId="6DDDB9A1" w14:textId="77777777" w:rsidR="00C602F7" w:rsidRPr="00835D5C" w:rsidRDefault="005E6E5C">
      <w:pPr>
        <w:pStyle w:val="a0"/>
        <w:rPr>
          <w:lang w:val="ru-RU"/>
        </w:rPr>
      </w:pPr>
      <w:r w:rsidRPr="00835D5C">
        <w:rPr>
          <w:lang w:val="ru-RU"/>
        </w:rPr>
        <w:t xml:space="preserve">Учебный график «Алерты по правилам SIEM за сутки» составлен на структуре полей датасета </w:t>
      </w:r>
      <w:r w:rsidRPr="00835D5C">
        <w:rPr>
          <w:rStyle w:val="VerbatimChar"/>
          <w:lang w:val="ru-RU"/>
        </w:rPr>
        <w:t>iavd_incidents_raw</w:t>
      </w:r>
      <w:r w:rsidRPr="00835D5C">
        <w:rPr>
          <w:lang w:val="ru-RU"/>
        </w:rPr>
        <w:t xml:space="preserve"> («Правило корреляции SIEM», «Критичность»); значения и сценарии условные. Данные квартета Энскомба — опубликованные, не часть этого условного графика.</w:t>
      </w:r>
      <w:bookmarkEnd w:id="0"/>
      <w:bookmarkEnd w:id="2"/>
    </w:p>
    <w:sectPr w:rsidR="00C602F7" w:rsidRPr="00835D5C" w:rsidSect="00835D5C">
      <w:headerReference w:type="default" r:id="rId7"/>
      <w:footnotePr>
        <w:numRestart w:val="eachSect"/>
      </w:footnotePr>
      <w:pgSz w:w="12240" w:h="15840" w:code="1"/>
      <w:pgMar w:top="851" w:right="851" w:bottom="851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6DFB9" w14:textId="77777777" w:rsidR="00B84F3F" w:rsidRDefault="00B84F3F" w:rsidP="00835D5C">
      <w:pPr>
        <w:spacing w:after="0"/>
      </w:pPr>
      <w:r>
        <w:separator/>
      </w:r>
    </w:p>
  </w:endnote>
  <w:endnote w:type="continuationSeparator" w:id="0">
    <w:p w14:paraId="25649658" w14:textId="77777777" w:rsidR="00B84F3F" w:rsidRDefault="00B84F3F" w:rsidP="00835D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6A3F6" w14:textId="77777777" w:rsidR="00B84F3F" w:rsidRDefault="00B84F3F" w:rsidP="00835D5C">
      <w:pPr>
        <w:spacing w:after="0"/>
      </w:pPr>
      <w:r>
        <w:separator/>
      </w:r>
    </w:p>
  </w:footnote>
  <w:footnote w:type="continuationSeparator" w:id="0">
    <w:p w14:paraId="4DD62B7A" w14:textId="77777777" w:rsidR="00B84F3F" w:rsidRDefault="00B84F3F" w:rsidP="00835D5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06279109"/>
      <w:docPartObj>
        <w:docPartGallery w:val="Page Numbers (Top of Page)"/>
        <w:docPartUnique/>
      </w:docPartObj>
    </w:sdtPr>
    <w:sdtEndPr/>
    <w:sdtContent>
      <w:p w14:paraId="6EC4EB27" w14:textId="699B263A" w:rsidR="00835D5C" w:rsidRDefault="00835D5C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47BD22F" w14:textId="77777777" w:rsidR="00835D5C" w:rsidRDefault="00835D5C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E784A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58B2FB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02F7"/>
    <w:rsid w:val="005E6E5C"/>
    <w:rsid w:val="00835D5C"/>
    <w:rsid w:val="00891E24"/>
    <w:rsid w:val="00B84F3F"/>
    <w:rsid w:val="00C6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49D84"/>
  <w15:docId w15:val="{CFF7268D-7CBC-4C74-88CF-BEFCC6C6C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Table Grid"/>
    <w:basedOn w:val="a2"/>
    <w:rsid w:val="00835D5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"/>
    <w:link w:val="af3"/>
    <w:uiPriority w:val="99"/>
    <w:unhideWhenUsed/>
    <w:rsid w:val="00835D5C"/>
    <w:pPr>
      <w:tabs>
        <w:tab w:val="center" w:pos="4677"/>
        <w:tab w:val="right" w:pos="9355"/>
      </w:tabs>
      <w:spacing w:after="0"/>
    </w:pPr>
  </w:style>
  <w:style w:type="character" w:customStyle="1" w:styleId="af3">
    <w:name w:val="Верхний колонтитул Знак"/>
    <w:basedOn w:val="a1"/>
    <w:link w:val="af2"/>
    <w:uiPriority w:val="99"/>
    <w:rsid w:val="00835D5C"/>
  </w:style>
  <w:style w:type="paragraph" w:styleId="af4">
    <w:name w:val="footer"/>
    <w:basedOn w:val="a"/>
    <w:link w:val="af5"/>
    <w:unhideWhenUsed/>
    <w:rsid w:val="00835D5C"/>
    <w:pPr>
      <w:tabs>
        <w:tab w:val="center" w:pos="4677"/>
        <w:tab w:val="right" w:pos="9355"/>
      </w:tabs>
      <w:spacing w:after="0"/>
    </w:pPr>
  </w:style>
  <w:style w:type="character" w:customStyle="1" w:styleId="af5">
    <w:name w:val="Нижний колонтитул Знак"/>
    <w:basedOn w:val="a1"/>
    <w:link w:val="af4"/>
    <w:rsid w:val="00835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473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Большаков А.А. (ГИС)</cp:lastModifiedBy>
  <cp:revision>3</cp:revision>
  <dcterms:created xsi:type="dcterms:W3CDTF">2026-09-29T00:48:00Z</dcterms:created>
  <dcterms:modified xsi:type="dcterms:W3CDTF">2026-10-03T01:05:00Z</dcterms:modified>
</cp:coreProperties>
</file>