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eastAsia="Times New Roman" w:cs="Arial"/>
          <w:b/>
          <w:color w:val="000000"/>
          <w:sz w:val="28"/>
          <w:u w:val="single"/>
          <w:lang w:eastAsia="es-CO"/>
        </w:rPr>
      </w:pPr>
      <w:r>
        <w:rPr>
          <w:rFonts w:eastAsia="Times New Roman" w:cs="Arial" w:ascii="Arial" w:hAnsi="Arial"/>
          <w:b/>
          <w:color w:val="000000"/>
          <w:sz w:val="28"/>
          <w:u w:val="single"/>
          <w:lang w:eastAsia="es-CO"/>
        </w:rPr>
        <w:t>EVIDENCIA DE PRODUCTO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790"/>
      </w:tblGrid>
      <w:tr>
        <w:trPr>
          <w:trHeight w:val="397" w:hRule="atLeast"/>
        </w:trPr>
        <w:tc>
          <w:tcPr>
            <w:tcW w:w="10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color w:val="000000"/>
                <w:sz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0"/>
                <w:szCs w:val="22"/>
                <w:lang w:val="es-CO" w:eastAsia="es-CO" w:bidi="ar-SA"/>
              </w:rPr>
              <w:t>EVALUACIÓN Y CERTIFICACIÓN DE COMPETENCIAS LABORALES - ECCL SENA</w:t>
            </w:r>
          </w:p>
        </w:tc>
      </w:tr>
      <w:tr>
        <w:trPr>
          <w:trHeight w:val="397" w:hRule="atLeast"/>
        </w:trPr>
        <w:tc>
          <w:tcPr>
            <w:tcW w:w="10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222222"/>
                <w:kern w:val="0"/>
                <w:sz w:val="20"/>
                <w:szCs w:val="22"/>
                <w:lang w:val="es-CO" w:eastAsia="en-US" w:bidi="ar-SA"/>
              </w:rPr>
              <w:t>NOMBRES Y APELLIDOS DEL CANDIDATO: Brandon Jose Carranza Rangel</w:t>
            </w:r>
          </w:p>
        </w:tc>
      </w:tr>
      <w:tr>
        <w:trPr>
          <w:trHeight w:val="397" w:hRule="atLeast"/>
        </w:trPr>
        <w:tc>
          <w:tcPr>
            <w:tcW w:w="10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222222"/>
                <w:kern w:val="0"/>
                <w:sz w:val="20"/>
                <w:szCs w:val="22"/>
                <w:lang w:val="es-CO" w:eastAsia="en-US" w:bidi="ar-SA"/>
              </w:rPr>
              <w:t>DOCUMENTO: C.C. 1007892884</w:t>
            </w:r>
          </w:p>
        </w:tc>
      </w:tr>
      <w:tr>
        <w:trPr>
          <w:trHeight w:val="397" w:hRule="atLeast"/>
        </w:trPr>
        <w:tc>
          <w:tcPr>
            <w:tcW w:w="10790" w:type="dxa"/>
            <w:tcBorders/>
            <w:vAlign w:val="center"/>
          </w:tcPr>
          <w:p>
            <w:pPr>
              <w:pStyle w:val="NormalWeb"/>
              <w:widowControl/>
              <w:shd w:val="clear" w:color="auto" w:fill="FFFFFF"/>
              <w:spacing w:beforeAutospacing="0" w:before="0" w:afterAutospacing="0" w:after="0"/>
              <w:jc w:val="both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0"/>
                <w:szCs w:val="22"/>
                <w:lang w:val="es-CO" w:bidi="ar-SA"/>
              </w:rPr>
              <w:t>NORMA:</w:t>
            </w:r>
            <w:r>
              <w:rPr>
                <w:rFonts w:cs="Arial" w:ascii="Arial" w:hAnsi="Arial"/>
                <w:kern w:val="0"/>
                <w:sz w:val="20"/>
                <w:szCs w:val="22"/>
                <w:lang w:val="es-CO" w:bidi="ar-SA"/>
              </w:rPr>
              <w:t xml:space="preserve"> 220501095</w:t>
            </w:r>
            <w:r>
              <w:rPr>
                <w:rFonts w:cs="Arial" w:ascii="Arial" w:hAnsi="Arial"/>
                <w:bCs/>
                <w:color w:val="000000"/>
                <w:kern w:val="0"/>
                <w:sz w:val="20"/>
                <w:szCs w:val="22"/>
                <w:lang w:val="es-CO" w:bidi="ar-SA"/>
              </w:rPr>
              <w:t xml:space="preserve"> Diseñar la solución de software de acuerdo con procedimientos y requisitos técnicos.</w:t>
            </w:r>
          </w:p>
        </w:tc>
      </w:tr>
      <w:tr>
        <w:trPr>
          <w:trHeight w:val="397" w:hRule="atLeast"/>
        </w:trPr>
        <w:tc>
          <w:tcPr>
            <w:tcW w:w="107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222222"/>
                <w:kern w:val="0"/>
                <w:sz w:val="20"/>
                <w:szCs w:val="22"/>
                <w:lang w:val="es-CO" w:eastAsia="en-US" w:bidi="ar-SA"/>
              </w:rPr>
              <w:t>FECHA DE ENTREGA: 06 de septiembre de 2026</w:t>
            </w:r>
          </w:p>
        </w:tc>
      </w:tr>
    </w:tbl>
    <w:p>
      <w:pPr>
        <w:pStyle w:val="Normal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13"/>
        <w:gridCol w:w="7677"/>
      </w:tblGrid>
      <w:tr>
        <w:trPr>
          <w:trHeight w:val="567" w:hRule="atLeast"/>
        </w:trPr>
        <w:tc>
          <w:tcPr>
            <w:tcW w:w="10790" w:type="dxa"/>
            <w:gridSpan w:val="2"/>
            <w:tcBorders/>
            <w:shd w:color="auto" w:fill="8DB3E2" w:themeFill="text2" w:themeFillTint="66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DOCUMENTO DE DISEÑO DE SOFTWARE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Introducción del sistema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1. Contexto Institucional y Caso de Estudio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El proyecto 'Nova OS '97' (Synapse Admissions AI) es una plataforma integral de software desarrollada para optimizar, estandarizar y automatizar los procesos de atención, orientación al aspirante y admisiones académicas de Nova Idiomas Colombia.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Nova Idiomas Colombia es una academia líder en la enseñanza de lenguas extranjeras con sedes físicas de alta demanda en Bogotá (Chicó y Chapinero), Medellín (El Poblado y Laureles), Cali (Granada) y una Sede Virtual Sincrónica de cobertura nacional e internacional. Su portafolio abarca cursos de Inglés (General, Intensivo y Business), Francés (DELF/DALF), Alemán (Goethe-Zertifikat), Portugués y talleres de preparación para exámenes internacionales como IELTS, TOEFL iBT y Cambridge.</w:t>
            </w:r>
          </w:p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2. Descripción de la Problemática a Resolver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El departamento de admisiones enfrentaba problemas críticos de atención al usuario: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Saturación de canales digitales: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Recepción masiva y desordenada de solicitudes en WhatsApp y web solicitando información repetitiva sobre precios, sedes y horarios.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Cuellos de botella en soporte humano: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Los asesores dedicaban más del 70% de su jornada a responder preguntas frecuentes (FAQs), retrasando la atención de prospectos de alto valor corporativo.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Disparidad tarifaria: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Inconsistencias al informar descuentos por convenios de cajas de compensación familiar (Compensar, Colsubsidio, Comfama) y fechas de inicio de ciclo.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Riesgo de alucinaciones por IA genérica: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Los modelos comerciales sin grounding documental inventaban tarifas, becas de mérito inexistentes o cotizaciones en monedas extranjeras.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Pérdida de trazabilidad: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Consultas complejas quedaban sin registro formal en bases de datos o seguimiento comercial estructurado.</w:t>
            </w:r>
          </w:p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3. Objetivos del Sistema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Objetivo General: Diseñar y especificar una solución de software orientada a la atención automatizada de admisiones académicas, basada en un motor RAG híbrido, navegación determinística y escalamiento estructurado a consejeros humanos, garantizando respuestas fidedignas en sub-30ms sobre documentos oficiales y cero alucinaciones.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Objetivos Específicos: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1. Diseñar una arquitectura modular desacoplada (Clean Architecture) que separe la presentación web, pasarela API REST, filtros de seguridad y motor RAG.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2. Modelar una máquina de estados finitos guiada en 4 pilares temáticos (Cursos, Horarios, Precios, Sedes) y 24 hojas de consulta rápida.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3. Definir un pipeline de recuperación híbrida (búsqueda densa en ChromaDB + búsqueda léxica BM25 lematizada en español) mediante Reciprocal Rank Fusion (k=60).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4. Diseñar guardrails pre-flight de seguridad contra inyecciones de prompt y protocolo de escalamiento humano en dos fases con tickets 'ESC-YYYYMMDD-XXXX'.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5. Establecer un esquema de caché de doble capa (exacta SHA-256 y semántica vectorial) invalidation-aware para garantizar latencias instantáneas.</w:t>
            </w:r>
          </w:p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4. Actores del Sistema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Aspirante / Estudiante Potencial: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Interactúa con la terminal web 'Nova OS '97', consulta programas, aranceles y horarios, agenda el Placement Test gratuito o solicita asesoría.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Asesor de Admisiones Humano: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Gestiona la bandeja de tickets derivados (ESC-XXXX), revisa la transcripción de chat y contacta al aspirante vía WhatsApp para cerrar la matrícula.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Administrador del Sistema / TI: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Carga y actualiza documentos normativos, audita telemetría, monitorea la tasa de aciertos de caché y supervisa los microservicios.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Requisitos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1. Requisitos Funcionales (RF)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RF-01 (Recepción de Consultas):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El sistema debe recibir preguntas a través de interfaz gráfica web interactiva y exponer endpoint REST POST /api/v1/chat.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RF-02 (Navegación Guiada):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Proveer menú estructurado con 4 pilares: 1. Cursos, 2. Horarios, 3. Precios y 4. Sedes, operable mediante números o botones clicables.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RF-03 (Tolerancia Tipográfica):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Identificar intenciones mediante distancia Levenshtein (&lt;= 2) ante errores ortográficos comunes (ej. 'horaroi' -&gt; 'horario').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RF-04 (Ingesta y Chunking):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Procesar documentos Markdown institucionales aplicando división por encabezados y solapamiento (overlap) de 100 caracteres.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RF-05 (Búsqueda Léxica BM25):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Ejecutar búsqueda léxica BM25 en español con normalización Unicode NFD y lematizador determinista de sufijos.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RF-06 (Búsqueda Densa Vectorial):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Calcular similitud coseno entre consulta y fragmentos vectorizados mediante embeddings de 384 dimensiones en ChromaDB.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RF-07 (Fusión RRF):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Integrar rankings denso y léxico mediante el algoritmo Reciprocal Rank Fusion (k=60) seleccionando el Top-4 de fragmentos.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RF-08 (Caché de Doble Capa):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Resolver consultas mediante hash exacto SHA-256 en O(1) y similitud semántica (&gt;= 0.88), con auto-purga ante cambios en documentos.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RF-09 (Filtro Guardrails):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Detectar patrones maliciosos (jailbreaks, extracción de prompt) antes de consultar el motor RAG, bloqueándolos de inmediato.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RF-10 (Política 'Becas como Descuentos'):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Aclarar que la institución no ofrece becas de mérito sino descuentos del 10% y 15% según el documento oficial 12_04.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RF-11 (Escalamiento en 2 Fases):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Si el score es inferior a 0.35 (pilar) o 0.50 (general), ofrecer escalamiento explícito (¿Deseas escalar a asesor humano? Sí/No).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RF-12 (Generación de Tickets):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Generar tickets únicos estructurados con formato ESC-YYYYMMDD-XXXX persistidos en data/escalations.json.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RF-13 (Agendamiento Placement Test):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Registrar solicitudes de prueba de nivelación gratuita capturando nombre, email, teléfono, sede y fecha preferida.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RF-14 (Telemetría y Métricas):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Registrar y exponer métricas de consultas totales, latencia en ms, tasa de escalamiento y porcentaje de aciertos de caché.</w:t>
            </w:r>
          </w:p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2. Requisitos No Funcionales (RNF)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RNF-01 (Latencia en Caché):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Las respuestas resueltas por caché exacta deben entregarse en menos de 30 milisegundos.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RNF-02 (Latencia de Inferencia RAG):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El tiempo total de procesamiento para respuestas directas del motor RAG no debe superar los 2.5 segundos.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RNF-03 (Cero Alucinaciones):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El 100% de las respuestas sobre precios, sedes y horarios debe estar fundamentado en citas de documentos oficiales.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RNF-04 (Disponibilidad):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La API de FastAPI y la interfaz web deben sostener una disponibilidad operativa mínima del 99.5%.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RNF-05 (Eficiencia de Costos):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Reducción de al menos un 40% en consumo de tokens generativos gracias a la caché jerárquica y navegación guiada.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RNF-06 (Rendimiento Visual):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El fondo WebGL interactivo en PixiJS debe ejecutarse a 60 FPS estables sin saturar el hilo principal de React.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RNF-07 (Ergonomía Visual):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Proveer conmutador accesible de filtro CRT anti-fatiga visual con diseño responsivo móvil y desktop.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RNF-08 (Protección de Datos):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Cumplimiento estricto de la Ley 1581 de 2012 (Habeas Data) en captura y almacenamiento de información de aspirantes.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RNF-09 (Portabilidad Multiplataforma):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Capacidad de arranque en un clic (start.bat / start.sh / run.py) en entornos Windows, Linux y macOS.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RNF-10 (Mantenibilidad y Testing):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Cobertura de pruebas unitarias e integrales superior al 90% con suite automatizada en Pytest (27/27 tests superados).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Arquitectura del software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Arquitectura Multicapa Desacoplada (Clean Architecture)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El sistema implementa una arquitectura multicapa altamente modular orientada a microservicios: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687830" cy="7641590"/>
                  <wp:effectExtent l="0" t="0" r="0" b="0"/>
                  <wp:docPr id="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830" cy="7641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Arquitectura Multicapa Desacoplada (Clean Architecture) - Nova OS '97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Arial" w:hAnsi="Arial" w:eastAsia="Calibri" w:cs="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Arial" w:hAnsi="Arial" w:eastAsia="Calibri" w:cs="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Arial" w:hAnsi="Arial" w:eastAsia="Calibri" w:cs="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Descripción de capas: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1. Capa de Presentación (UI):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Next.js 15 (App Router) + TypeScript + Tailwind CSS + PixiJS WebGL + Terminal CRT.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2. Capa API Gateway REST: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FastAPI asíncrono (:8000), validación Pydantic v2 y endpoints /chat, /stream, /health, /metrics.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3. Capa de Seguridad &amp; Guardrails: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Filtro pre-flight con regex compiladas contra prompt injection, jailbreaks y bypasses.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4. Máquina de Estados Guiada: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GuidedNavigationEngine con 4 pilares, 24 hojas y corrección Levenshtein (&lt;= 2).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5. Capa de Caché de Doble Capa: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Nivel 1 exacto SHA-256 en memoria (&lt;20ms) y Nivel 2 semántico coseno con purga automática.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6. Motor RAG Híbrido: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Búsqueda densa (ChromaDB) y búsqueda léxica (PureBM25) fusionadas con RRF (k=60).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7. Síntesis y Escalamiento Humano: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Generación fundamentada con LLM o escalamiento en 2 fases con ticket ESC-YYYYMMDD-XXXX.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Descripción de módulos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Módulos Principales del Sistema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Módulo 1: Presentación y Experiencia de Usuario (frontend/):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Aplicación construida en Next.js 15 (App Router) con React 19 y TypeScript. Implementa la terminal 'Nova OS '97', el lienzo de partículas WebGL en PixiJS acelerado por GPU, el conmutador de filtro CRT y renderizado Markdown GFM.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Módulo 2: Gateway API REST (backend/src/api/):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Controlador central en FastAPI que orquesta peticiones HTTP asíncronas, serializa y valida modelos de datos con Pydantic v2 (ChatRequest, ChatResponse, PlacementRequest) y expone endpoints de telemetría y salud.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Módulo 3: Guardrails de Seguridad (backend/src/core/guardrails.py):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Filtro pre-flight que analiza el texto antes del RAG mediante expresiones regulares compiladas para neutralizar prompt injections, jailbreaks y solicitudes fraudulentas.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Módulo 4: Navegación Guiada (backend/src/core/navigation.py):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Motor de árbol de decisión finito que despacha los 4 pilares y sus 24 hojas en sub-10ms, con normalización lingüística y corrección de erratas por distancia Levenshtein.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Módulo 5: Caché de Doble Capa (backend/src/core/cache.py):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Almacén en memoria de doble nivel: hash SHA-256 para consultas idénticas (latencia &lt; 20 ms) y similitud coseno para consultas semánticamente afines, con auto-purga ante cambios documentales.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Módulo 6: Recuperador Híbrido RAG (backend/src/rag/):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Subsistema que combina búsqueda densa en ChromaDB y búsqueda léxica en PureBM25 mediante Reciprocal Rank Fusion (k=60), seleccionando los fragmentos documentales con mayor respaldo fáctico.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Módulo 7: Despachador de Escalamiento (backend/src/core/dispatcher.py):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Servicio encargado de registrar tickets estructurados ESC-YYYYMMDD-XXXX en data/escalations.json y notificar al equipo de asesores cuando una consulta cae bajo el umbral de corte.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Justificación técnica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Cuadro Comparativo de Justificación Técnica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FastAPI (Python 3.10+) vs Django / Express: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FastAPI ofrece programación asíncrona nativa (asyncio), contratos OpenAPI automáticos, validación estricta con Pydantic y latencias mínimas, integrándose de forma directa con el ecosistema de IA.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ChromaDB (Local embebido) vs Pinecone / Milvus: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ChromaDB opera 100% in-process sin depender de servicios de pago en la nube, garantizando cero costos recurrentes, privacidad de datos y latencia nula de red.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PureBM25 en Python vs Elasticsearch / Solr: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PureBM25 no requiere una pesada máquina virtual Java (JVM), consume menos de 2 MB de RAM y permite lematización de sufijos personalizada para el español de Colombia.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Reciprocal Rank Fusion (RRF k=60) vs Ponderación Lineal: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RRF combina puntuaciones densas [0, 1] y valores BM25 ilimitados basándose en posiciones relativas, evitando la calibración arbitraria de pesos numéricos.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Next.js 15 (App Router) vs Vite / React SPA: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Brinda Server Components, división automática de código, proxy inverso integrado que elimina problemas de CORS y soporte SEO.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PixiJS (WebGL 2D) vs Animaciones CSS/DOM: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Delega el cómputo gráfico directamente a la GPU a 60 FPS estables sin sobrecargar el reconciliador de React con cientos de nodos DOM.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Supervisor run.py vs Docker obligatorio: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Permite que cualquier evaluador docente ejecute la solución en Windows o Linux con un doble clic sin requerir virtualización activa o privilegios de administrador.</w:t>
            </w:r>
          </w:p>
        </w:tc>
      </w:tr>
      <w:tr>
        <w:trPr>
          <w:trHeight w:val="567" w:hRule="atLeast"/>
        </w:trPr>
        <w:tc>
          <w:tcPr>
            <w:tcW w:w="10790" w:type="dxa"/>
            <w:gridSpan w:val="2"/>
            <w:tcBorders/>
            <w:shd w:color="auto" w:fill="8DB3E2" w:themeFill="text2" w:themeFillTint="6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DIAGRAMAS DE LENGUAJE UNIFICADO DE MODELADO (UML)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Diagrama de casos de uso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Modelado de Casos de Uso del Sistema Nova OS '97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El sistema articula 3 actores principales y 16 casos de uso organizados en 3 subsistemas: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663440" cy="6987540"/>
                  <wp:effectExtent l="0" t="0" r="0" b="0"/>
                  <wp:docPr id="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3440" cy="6987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Diagrama UML de Casos de Uso - Portal de Admisiones Nova OS '97</w:t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  <w:t>Descripción de Subsistemas y Casos de Uso: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Portal de Admisiones: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CU-01 Oferta, CU-02 Horarios y Sedes, CU-03 Tarifas y Descuentos COP, CU-04 Menú Guiado Pilares 1..4, CU-05 Consulta Libre en Lenguaje Natural, CU-06 Agendar Placement Test, CU-07 Solicitar Asesor Humano, CU-08 Confirmar Escalamiento en 2 Fases.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Módulo de Asesores: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CU-09 Gestionar Bandeja de Tickets ESC-XXXX, CU-10 Consultar Historial y Transcripción, CU-11 Contactar Aspirante vía WhatsApp, CU-12 Cerrar Ticket de Escalamiento.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Módulo de Administración TI: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CU-13 Cargar Documentos RAG, CU-14 Forzar Reindexación Vectorial, CU-15 Monitorear Métricas Operativas (/metrics), CU-16 Auditar Tasa de Aciertos y Costos.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Relaciones Clave: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CU-05 &lt;&lt;extend&gt;&gt; CU-07 (si score &lt; 0.35 se ofrece asesor); CU-07 &lt;&lt;include&gt;&gt; CU-08 (confirmación obligatoria); CU-09 &lt;&lt;include&gt;&gt; CU-10 (revisión de chat previo).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Diagrama de clases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Diagrama de Clases del Dominio y Servicios (Backend)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Estructura estática de contratos I/O Pydantic, servicios de seguridad, navegación y componentes del subsistema RAG: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663440" cy="869950"/>
                  <wp:effectExtent l="0" t="0" r="0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3440" cy="869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Diagrama UML de Clases - Arquitectura de Dominio y Servicios RAG</w:t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  <w:t>Especificación de Componentes Clave: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ChatRequest / ChatResponse: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Contratos de datos Pydantic v2 que validan query, user_id, session_id, status, source_documents, confidence_score y action_buttons.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PreFlightGuardrails: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Servicio con INJECTION_PATTERNS compilados para validate_query() y evaluate_relevance().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GuidedNavigationEngine: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Árbol determinístico con ROOT_MENU, INTENT_SYNONYMS y LEAF_QUERY_MAP con distancia _levenshtein().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InvalidationAwareQueryCache: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Almacén en memoria exact_cache y semantic_cache con auto-invalidación ante cambios en hash documental.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HybridRetriever: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Orquestador de búsqueda que combina PureBM25 y VectorStore (ChromaDB) mediante RRF (k=60).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EscalationDispatcher: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Servicio que genera tickets estructurados TicketRecord y los persiste en data/escalations.json.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Diagrama de secuencia o actividad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1. Diagrama de Secuencia: Flujo Exitoso de Consulta RAG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Modela el ciclo de vida completo desde la interacción en el frontend hasta la resolución por caché o inferencia RAG: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663440" cy="2520950"/>
                  <wp:effectExtent l="0" t="0" r="0" b="0"/>
                  <wp:docPr id="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3440" cy="2520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Diagrama de Secuencia 1: Consulta RAG con Resolución en Caché o Búsqueda Híbrida</w:t>
            </w:r>
          </w:p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2. Diagrama de Secuencia: Escalamiento Humano en Dos Fases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Modela el comportamiento reactivo ante consultas fuera de alcance normativo o baja similitud (&lt; 0.35):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663440" cy="1812290"/>
                  <wp:effectExtent l="0" t="0" r="0" b="0"/>
                  <wp:docPr id="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3440" cy="181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Diagrama de Secuencia 2: Protocolo de Escalamiento Humano y Asignación de Ticket</w:t>
            </w:r>
          </w:p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3. Diagrama de Actividades: Algoritmo de Flujo del Backend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Modelado lógico del algoritmo de bifurcación y toma de decisiones del motor central: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011295" cy="7641590"/>
                  <wp:effectExtent l="0" t="0" r="0" b="0"/>
                  <wp:docPr id="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1295" cy="7641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Diagrama de Actividades: Flujo de Procesamiento y Decisiones del Backend</w:t>
            </w:r>
          </w:p>
        </w:tc>
      </w:tr>
      <w:tr>
        <w:trPr>
          <w:trHeight w:val="567" w:hRule="atLeast"/>
        </w:trPr>
        <w:tc>
          <w:tcPr>
            <w:tcW w:w="10790" w:type="dxa"/>
            <w:gridSpan w:val="2"/>
            <w:tcBorders/>
            <w:shd w:color="auto" w:fill="8DB3E2" w:themeFill="tex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PROTOTIPO DE SOLUCIÓN DE SOFTWARE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Pantalla principal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Prototipo de Pantalla Principal: Terminal Interactiva 'Nova OS '97'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Diseño ergonómico retro-futurista 'Windows/Mac '97' con fondo interactivo WebGL (PixiJS), paleta de colores oscuro-obsidiana (#0a0b10) y conmutador accesible de filtro CRT anti-fatiga visual: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572000" cy="3020695"/>
                  <wp:effectExtent l="0" t="0" r="0" b="0"/>
                  <wp:docPr id="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20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Captura de Interfaz: Terminal Interactiva Nova OS '97 (Pixel-Perfect Retro UI)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Gestión de proyectos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Arial" w:hAnsi="Arial" w:eastAsia="Calibri" w:cs="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Gestión de Oferta Académica y Catálogo de Programas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Módulo de consulta, mallas curriculares y simulador interactivo de matrícula con descuentos en pesos colombianos (COP):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572000" cy="3020695"/>
                  <wp:effectExtent l="0" t="0" r="0" b="0"/>
                  <wp:docPr id="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20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Captura de Interfaz: Catálogo de Oferta Académica y Simulador de Descuentos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Gestión de tareas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Gestión de Tareas y Bandeja de Tickets de Escalamiento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Panel administrativo utilizado por los asesores humanos de admisiones para atender los tickets derivados: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572000" cy="3020695"/>
                  <wp:effectExtent l="0" t="0" r="0" b="0"/>
                  <wp:docPr id="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20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Captura de Interfaz: Bandeja de Gestión de Tickets de Admisiones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Formularios de creación/edición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Formularios de Creación y Edición del Sistema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Interfaces de captura de datos validadas para el registro de aspirantes, pruebas de nivelación y escalamiento comercial: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572000" cy="3020695"/>
                  <wp:effectExtent l="0" t="0" r="0" b="0"/>
                  <wp:docPr id="1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20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Arial" w:hAnsi="Arial" w:eastAsia="Calibri" w:cs="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Captura de Interfaz: Formularios de Placement Test y Escalamiento Humano</w:t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Arial" w:hAnsi="Arial" w:eastAsia="Calibri" w:cs="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Arial" w:hAnsi="Arial" w:eastAsia="Calibri" w:cs="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Arial" w:hAnsi="Arial" w:eastAsia="Calibri" w:cs="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10790" w:type="dxa"/>
            <w:gridSpan w:val="2"/>
            <w:tcBorders/>
            <w:shd w:color="auto" w:fill="8DB3E2" w:themeFill="text2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MODELO DE BASE DE DATOS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Tablas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Entidades Normalizadas en Tercera Forma Normal (3FN)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Para garantizar la integridad transaccional, trazabilidad conversacional y persistencia del sistema Nova OS '97, se diseñaron 9 tablas relacionales normalizadas: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1. aspirantes: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Almacena los prospectos y usuarios que interactúan con el portal o agendan pruebas.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2. programas_idiomas: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Catálogo institucional de idiomas (Inglés, Francés, Alemán, Portugués) y niveles MCER.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3. sedes_modalidades: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Sedes físicas (Bogotá Chicó/Chapinero, Medellín, Cali) y campus Virtual Sincrónico.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4. franjas_horarias: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Horarios académicos (Madrugadores 6-8 AM, Diurnos, Nocturnos 6:30-8:30 PM, Sabatinos).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5. tarifas_descuentos: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Precios oficiales en COP, 10% pronto pago y 15% convenios cajas de compensación.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6. citas_placement_test: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Registro y agendamiento de exámenes de nivelación diagnóstica gratuitos.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7. tickets_escalamiento: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Casos derivados al equipo humano de admisiones (formato ESC-YYYYMMDD-XXXX).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8. sesiones_chat y mensajes_chat: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Registro y trazabilidad de conversaciones, latencias y scores de relevancia.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9. chunks_conocimiento: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Metadatos y hashes de los 83 documentos oficiales indexados en el motor RAG.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Campos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Diccionario de Datos y Especificación de Atributos</w:t>
            </w:r>
          </w:p>
          <w:p>
            <w:pPr>
              <w:pStyle w:val="Normal"/>
              <w:widowControl/>
              <w:spacing w:lineRule="auto" w:line="240" w:before="40" w:after="60"/>
              <w:ind w:start="216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Consolas" w:hAnsi="Consolas"/>
                <w:b w:val="false"/>
                <w:i w:val="false"/>
                <w:color w:val="1A202C"/>
                <w:kern w:val="0"/>
                <w:sz w:val="16"/>
                <w:szCs w:val="22"/>
                <w:lang w:val="es-CO" w:eastAsia="en-US" w:bidi="ar-SA"/>
              </w:rPr>
              <w:t>TABLA 'aspirantes':</w:t>
              <w:br/>
              <w:t xml:space="preserve">  • id (UUID, PK, NOT NULL)               : Identificador universal único.</w:t>
              <w:br/>
              <w:t xml:space="preserve">  • nombre (VARCHAR(120), NOT NULL)       : Nombre completo del aspirante.</w:t>
              <w:br/>
              <w:t xml:space="preserve">  • email (VARCHAR(150), UNIQUE, NOT NULL): Correo electrónico verificado.</w:t>
              <w:br/>
              <w:t xml:space="preserve">  • telefono (VARCHAR(20), NOT NULL)      : Celular / WhatsApp de contacto.</w:t>
              <w:br/>
              <w:t xml:space="preserve">  • ciudad (VARCHAR(80))                  : Ciudad de residencia.</w:t>
              <w:br/>
              <w:t xml:space="preserve">  • acepta_habeas_data (BOOLEAN, NOT NULL): Consentimiento legal Ley 1581.</w:t>
              <w:br/>
              <w:t xml:space="preserve">  • created_at (TIMESTAMP, DEFAULT NOW()) : Fecha y hora de creación.</w:t>
              <w:br/>
              <w:br/>
              <w:t>TABLA 'programas_idiomas':</w:t>
              <w:br/>
              <w:t xml:space="preserve">  • codigo (VARCHAR(20), PK)              : Código nemotécnico (ej. 'ING-INT').</w:t>
              <w:br/>
              <w:t xml:space="preserve">  • nombre_programa (VARCHAR(100))        : Nombre oficial del curso.</w:t>
              <w:br/>
              <w:t xml:space="preserve">  • idioma (VARCHAR(50))                  : Idioma impartido.</w:t>
              <w:br/>
              <w:t xml:space="preserve">  • horas_totales (INT)                   : Duración en horas de clase.</w:t>
              <w:br/>
              <w:t xml:space="preserve">  • estado_activo (BOOLEAN, DEFAULT TRUE) : Disponibilidad en oferta.</w:t>
              <w:br/>
              <w:br/>
              <w:t>TABLA 'tarifas_descuentos':</w:t>
              <w:br/>
              <w:t xml:space="preserve">  • id (SERIAL, PK)                       : Identificador numérico de tarifa.</w:t>
              <w:br/>
              <w:t xml:space="preserve">  • programa_codigo (VARCHAR(20), FK)     : Referencia a programas_idiomas.</w:t>
              <w:br/>
              <w:t xml:space="preserve">  • valor_pleno_cop (NUMERIC(12,2))       : Precio de lista en pesos colombianos.</w:t>
              <w:br/>
              <w:t xml:space="preserve">  • descuento_contado_pct (NUMERIC(5,2))  : 10.00% por pronto pago.</w:t>
              <w:br/>
              <w:t xml:space="preserve">  • descuento_cajas_pct (NUMERIC(5,2))    : 15.00% por caja de compensación.</w:t>
              <w:br/>
              <w:t xml:space="preserve">  • vigencia_hasta (DATE)                 : Fecha límite de aplicación arancelaria.</w:t>
              <w:br/>
              <w:br/>
              <w:t>TABLA 'citas_placement_test':</w:t>
              <w:br/>
              <w:t xml:space="preserve">  • id (UUID, PK)                         : Identificador único de cita.</w:t>
              <w:br/>
              <w:t xml:space="preserve">  • aspirante_id (UUID, FK)               : Referencia a tabla aspirantes.</w:t>
              <w:br/>
              <w:t xml:space="preserve">  • programa_codigo (VARCHAR(20), FK)     : Idioma a clasificar.</w:t>
              <w:br/>
              <w:t xml:space="preserve">  • sede_id (INT, FK)                     : Sede presencial o virtual.</w:t>
              <w:br/>
              <w:t xml:space="preserve">  • fecha_cita (TIMESTAMP, NOT NULL)      : Fecha y hora programada.</w:t>
              <w:br/>
              <w:t xml:space="preserve">  • estado (VARCHAR(30), DEFAULT 'AGENDADA'): Estado de la cita.</w:t>
              <w:br/>
              <w:br/>
              <w:t>TABLA 'tickets_escalamiento':</w:t>
              <w:br/>
              <w:t xml:space="preserve">  • ticket_id (VARCHAR(30), PK)           : Código único ESC-YYYYMMDD-XXXX.</w:t>
              <w:br/>
              <w:t xml:space="preserve">  • aspirante_id (UUID, FK)               : Referencia al aspirante.</w:t>
              <w:br/>
              <w:t xml:space="preserve">  • query_texto (TEXT, NOT NULL)          : Pregunta textual del usuario.</w:t>
              <w:br/>
              <w:t xml:space="preserve">  • confidence_score (NUMERIC(4,3))       : Puntuación RAG (&lt; 0.35).</w:t>
              <w:br/>
              <w:t xml:space="preserve">  • motivo (VARCHAR(150))                 : Causa del escalamiento.</w:t>
              <w:br/>
              <w:t xml:space="preserve">  • estado (VARCHAR(30), DEFAULT 'PENDIENTE'): PENDIENTE, EN GESTION, RESUELTO.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Llaves primarias y foráneas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Matriz de Llaves Primarias (PK) y Foráneas (FK)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Definición formal de restricciones de integridad referencial: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aspirantes: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PK: id (UUID). Restricción Unique (UK): email.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programas_idiomas: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PK: codigo (VARCHAR(20)).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sedes_modalidades: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PK: id (SERIAL).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franjas_horarias: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PK: id (SERIAL). FK: sede_id -&gt; sedes_modalidades(id) [ON DELETE RESTRICT].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tarifas_descuentos: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PK: id (SERIAL). FK: programa_codigo -&gt; programas_idiomas(codigo) [ON DELETE CASCADE].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citas_placement_test: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PK: id (UUID). FK1: aspirante_id -&gt; aspirantes(id). FK2: programa_codigo -&gt; programas_idiomas(codigo). FK3: sede_id -&gt; sedes_modalidades(id).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tickets_escalamiento: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PK: ticket_id (VARCHAR(30)). FK: aspirante_id -&gt; aspirantes(id) [ON DELETE RESTRICT].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sesiones_chat: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PK: id (UUID). FK: aspirante_id -&gt; aspirantes(id) [ON DELETE SET NULL].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mensajes_chat: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PK: id (BIGSERIAL). FK: sesion_id -&gt; sesiones_chat(id) [ON DELETE CASCADE].</w:t>
            </w:r>
          </w:p>
          <w:p>
            <w:pPr>
              <w:pStyle w:val="Normal"/>
              <w:widowControl/>
              <w:spacing w:lineRule="auto" w:line="276" w:before="20" w:after="4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19"/>
                <w:szCs w:val="22"/>
                <w:lang w:val="es-CO" w:eastAsia="en-US" w:bidi="ar-SA"/>
              </w:rPr>
              <w:t xml:space="preserve">chunks_conocimiento: </w:t>
            </w:r>
            <w:r>
              <w:rPr>
                <w:rFonts w:eastAsia="Calibri" w:cs="" w:ascii="Arial" w:hAnsi="Arial"/>
                <w:b w:val="false"/>
                <w:i w:val="false"/>
                <w:color w:val="333333"/>
                <w:kern w:val="0"/>
                <w:sz w:val="19"/>
                <w:szCs w:val="22"/>
                <w:lang w:val="es-CO" w:eastAsia="en-US" w:bidi="ar-SA"/>
              </w:rPr>
              <w:t>PK: id (VARCHAR(100)). Restricción Unique: chunk_hash (VARCHAR(64)).</w:t>
            </w:r>
          </w:p>
        </w:tc>
      </w:tr>
      <w:tr>
        <w:trPr>
          <w:trHeight w:val="567" w:hRule="atLeast"/>
        </w:trPr>
        <w:tc>
          <w:tcPr>
            <w:tcW w:w="31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sz w:val="20"/>
                <w:szCs w:val="20"/>
                <w:lang w:eastAsia="es-CO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s-CO" w:eastAsia="es-CO" w:bidi="ar-SA"/>
              </w:rPr>
              <w:t>Relaciones entre entidades</w:t>
            </w:r>
          </w:p>
        </w:tc>
        <w:tc>
          <w:tcPr>
            <w:tcW w:w="7677" w:type="dxa"/>
            <w:tcBorders/>
          </w:tcPr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111111"/>
                <w:kern w:val="0"/>
                <w:sz w:val="20"/>
                <w:szCs w:val="22"/>
                <w:lang w:val="es-CO" w:eastAsia="en-US" w:bidi="ar-SA"/>
              </w:rPr>
              <w:t>Diagrama Entidad-Relación (ERD) y Persistencia Híbrida</w:t>
            </w:r>
          </w:p>
          <w:p>
            <w:pPr>
              <w:pStyle w:val="Normal"/>
              <w:widowControl/>
              <w:spacing w:lineRule="auto" w:line="276" w:before="2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Modelo conceptual y lógico relacional normalizado en Tercera Forma Normal (3FN):</w:t>
            </w:r>
          </w:p>
          <w:p>
            <w:pPr>
              <w:pStyle w:val="Normal"/>
              <w:widowControl/>
              <w:spacing w:lineRule="auto" w:line="240" w:before="100" w:after="4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663440" cy="5139055"/>
                  <wp:effectExtent l="0" t="0" r="0" b="0"/>
                  <wp:docPr id="1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3440" cy="5139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20" w:after="10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 w:val="false"/>
                <w:i/>
                <w:color w:val="555555"/>
                <w:kern w:val="0"/>
                <w:sz w:val="17"/>
                <w:szCs w:val="22"/>
                <w:lang w:val="es-CO" w:eastAsia="en-US" w:bidi="ar-SA"/>
              </w:rPr>
              <w:t>Figura: Diagrama Entidad-Relación (ERD) - Modelo Relacional de Admisiones Nova OS '97</w:t>
            </w:r>
          </w:p>
          <w:p>
            <w:pPr>
              <w:pStyle w:val="Normal"/>
              <w:widowControl/>
              <w:spacing w:lineRule="auto" w:line="240" w:before="60" w:after="2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/>
                <w:color w:val="333333"/>
                <w:kern w:val="0"/>
                <w:sz w:val="19"/>
                <w:szCs w:val="22"/>
                <w:lang w:val="es-CO" w:eastAsia="en-US" w:bidi="ar-SA"/>
              </w:rPr>
              <w:t>Arquitectura de Persistencia Híbrida: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1. Almacén Relacional (PostgreSQL / ANSI SQL): Persistencia ACID para citas diagnósticas, tickets de escalamiento, usuarios y auditoría.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2. Almacén Vectorial (ChromaDB Local): Índices HNSW de similitud coseno sobre 252 fragmentos normativos institucionales con embeddings all-MiniLM-L6-v2.</w:t>
            </w:r>
          </w:p>
          <w:p>
            <w:pPr>
              <w:pStyle w:val="Normal"/>
              <w:widowControl/>
              <w:spacing w:lineRule="auto" w:line="276" w:before="20" w:after="60"/>
              <w:ind w:start="288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 w:cs="" w:ascii="Arial" w:hAnsi="Arial"/>
                <w:b/>
                <w:i w:val="false"/>
                <w:color w:val="003366"/>
                <w:kern w:val="0"/>
                <w:sz w:val="19"/>
                <w:szCs w:val="22"/>
                <w:lang w:val="es-CO" w:eastAsia="en-US" w:bidi="ar-SA"/>
              </w:rPr>
              <w:t xml:space="preserve">• </w:t>
            </w:r>
            <w:r>
              <w:rPr>
                <w:rFonts w:eastAsia="Calibri" w:cs="" w:ascii="Arial" w:hAnsi="Arial"/>
                <w:b w:val="false"/>
                <w:i w:val="false"/>
                <w:color w:val="222222"/>
                <w:kern w:val="0"/>
                <w:sz w:val="19"/>
                <w:szCs w:val="22"/>
                <w:lang w:val="es-CO" w:eastAsia="en-US" w:bidi="ar-SA"/>
              </w:rPr>
              <w:t>3. Persistencia de Fallback (JSON): Archivo estructurado data/escalations.json que permite desacoplamiento inmediato ante cortes de red.</w:t>
            </w:r>
          </w:p>
        </w:tc>
      </w:tr>
    </w:tbl>
    <w:p>
      <w:pPr>
        <w:pStyle w:val="Normal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</w:r>
    </w:p>
    <w:p>
      <w:pPr>
        <w:pStyle w:val="Normal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  <w:t>Firma: _________________________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lang w:eastAsia="es-CO"/>
        </w:rPr>
      </w:pPr>
      <w:r>
        <w:rPr>
          <w:rFonts w:ascii="Arial" w:hAnsi="Arial"/>
          <w:b/>
          <w:i w:val="false"/>
          <w:color w:val="222222"/>
          <w:sz w:val="20"/>
        </w:rPr>
        <w:t>Nombres y Apellidos del candidato: Brandon Jose Carranza Rangel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lang w:eastAsia="es-CO"/>
        </w:rPr>
      </w:pPr>
      <w:r>
        <w:rPr>
          <w:rFonts w:ascii="Arial" w:hAnsi="Arial"/>
          <w:b/>
          <w:i w:val="false"/>
          <w:color w:val="222222"/>
          <w:sz w:val="20"/>
        </w:rPr>
        <w:t>Documento: C.C. 1007892884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lang w:eastAsia="es-CO"/>
        </w:rPr>
      </w:pPr>
      <w:r>
        <w:rPr>
          <w:rFonts w:eastAsia="Times New Roman" w:cs="Arial" w:ascii="Arial" w:hAnsi="Arial"/>
          <w:b/>
          <w:lang w:eastAsia="es-CO"/>
        </w:rPr>
      </w:r>
    </w:p>
    <w:sectPr>
      <w:headerReference w:type="even" r:id="rId13"/>
      <w:headerReference w:type="default" r:id="rId14"/>
      <w:headerReference w:type="first" r:id="rId15"/>
      <w:type w:val="nextPage"/>
      <w:pgSz w:w="12240" w:h="15840"/>
      <w:pgMar w:left="720" w:right="720" w:gutter="0" w:header="708" w:top="765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16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1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5100" cy="596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1504950" cy="654050"/>
          <wp:effectExtent l="0" t="0" r="0" b="0"/>
          <wp:docPr id="1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16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1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5100" cy="596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1504950" cy="654050"/>
          <wp:effectExtent l="0" t="0" r="0" b="0"/>
          <wp:docPr id="1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bf3c1b"/>
    <w:rPr/>
  </w:style>
  <w:style w:type="character" w:styleId="PiedepginaCar" w:customStyle="1">
    <w:name w:val="Pie de página Car"/>
    <w:basedOn w:val="DefaultParagraphFont"/>
    <w:uiPriority w:val="99"/>
    <w:qFormat/>
    <w:rsid w:val="00bf3c1b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Default" w:customStyle="1">
    <w:name w:val="Default"/>
    <w:qFormat/>
    <w:rsid w:val="00957659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O" w:eastAsia="en-US" w:bidi="ar-SA"/>
    </w:rPr>
  </w:style>
  <w:style w:type="paragraph" w:styleId="NormalWeb">
    <w:name w:val="Normal (Web)"/>
    <w:basedOn w:val="Normal"/>
    <w:uiPriority w:val="99"/>
    <w:unhideWhenUsed/>
    <w:qFormat/>
    <w:rsid w:val="004645f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bf3c1b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bf3c1b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3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LibreOffice/26.2.5.2$Windows_X86_64 LibreOffice_project/cd7284b4cbbfeb507e630c1aac019f4157393acb</Application>
  <AppVersion>15.0000</AppVersion>
  <Pages>15</Pages>
  <Words>2957</Words>
  <Characters>18282</Characters>
  <CharactersWithSpaces>21399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2026-08-06T12:09:00Z</dcterms:created>
  <dc:creator>Usuario de Windows</dc:creator>
  <dc:description/>
  <dc:language>es-CO</dc:language>
  <cp:lastModifiedBy/>
  <dcterms:modified xsi:type="dcterms:W3CDTF">2026-09-05T23:51:30Z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