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Макухина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p>
      <w:pPr>
        <w:numPr>
          <w:ilvl w:val="0"/>
          <w:numId w:val="1002"/>
        </w:numPr>
        <w:pStyle w:val="Compact"/>
      </w:pPr>
      <w:r>
        <w:t xml:space="preserve">Создадим код, генерирующий ключи.</w:t>
      </w:r>
    </w:p>
    <w:p>
      <w:pPr>
        <w:pStyle w:val="FirstParagraph"/>
      </w:pPr>
      <w:hyperlink r:id="rId21">
        <w:r>
          <w:rPr>
            <w:rStyle w:val="Hyperlink"/>
          </w:rPr>
          <w:t xml:space="preserve">Рисунок 1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Создадим приложение, которое определяет</w:t>
      </w:r>
    </w:p>
    <w:p>
      <w:pPr>
        <w:numPr>
          <w:ilvl w:val="0"/>
          <w:numId w:val="1004"/>
        </w:numPr>
      </w:pPr>
      <w:r>
        <w:t xml:space="preserve">вид шифротекста при известном ключе и известном открытом тексте;</w:t>
      </w:r>
    </w:p>
    <w:p>
      <w:pPr>
        <w:numPr>
          <w:ilvl w:val="0"/>
          <w:numId w:val="1004"/>
        </w:numPr>
      </w:pPr>
      <w:r>
        <w:t xml:space="preserve">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</w:t>
      </w:r>
    </w:p>
    <w:p>
      <w:pPr>
        <w:pStyle w:val="FirstParagraph"/>
      </w:pPr>
      <w:hyperlink r:id="rId22">
        <w:r>
          <w:rPr>
            <w:rStyle w:val="Hyperlink"/>
          </w:rPr>
          <w:t xml:space="preserve">Рисунок 2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Проведём проверки.</w:t>
      </w:r>
    </w:p>
    <w:p>
      <w:pPr>
        <w:pStyle w:val="FirstParagraph"/>
      </w:pPr>
      <w:hyperlink r:id="rId23">
        <w:r>
          <w:rPr>
            <w:rStyle w:val="Hyperlink"/>
          </w:rPr>
          <w:t xml:space="preserve">Рисунок 3</w:t>
        </w:r>
      </w:hyperlink>
      <w:r>
        <w:t xml:space="preserve">.</w:t>
      </w:r>
    </w:p>
    <w:bookmarkEnd w:id="24"/>
    <w:bookmarkStart w:id="25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Однократное гаммирование – это когда каждый символ попарно с символом ключа складываются по модулю 2 (XOR).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Размер ключевого материала должен совпадать с размером передаваемых сообщений. Также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С точки зрения теории криптоанализа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К достоинствам также можно отнести простоту реализации и удобство применения.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Потому что каждый символ открытого текста должен складываться с символом ключа попарно.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сложение по модулю 2 (XOR) между элементами гаммы и элементами подлежащего сокрытию текста. Особенность заключается в том, что этот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программой.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сложения по модулю 2 (XOR). Размерности открытого текста и ключа должны совпадать, и полученный шифротекст будет такой же длины.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Если известны шифротекст и открытый текст, то задача нахождения ключа решается также сложением по модулю 2.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4"/>
        </w:numPr>
      </w:pPr>
      <w:r>
        <w:t xml:space="preserve">Полная случайность ключа;</w:t>
      </w:r>
    </w:p>
    <w:p>
      <w:pPr>
        <w:numPr>
          <w:ilvl w:val="0"/>
          <w:numId w:val="1014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14"/>
        </w:numPr>
      </w:pPr>
      <w:r>
        <w:t xml:space="preserve">Однократное использование ключа.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теорию и освоила на практике применение режима однократного гаммирования.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mages/1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23" Target="Images/3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mages/1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23" Target="Images/3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Макухина Анастасия Вадимовна</dc:creator>
  <dc:language>ru-RU</dc:language>
  <cp:keywords/>
  <dcterms:created xsi:type="dcterms:W3CDTF">2021-12-11T16:39:25Z</dcterms:created>
  <dcterms:modified xsi:type="dcterms:W3CDTF">2021-12-11T16:39:25Z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