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1.3 Анализ процесса обработки информации, выбор методов и алгоритмов решения задачи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Разрабатываемая информационная система предназначена для автоматизации тестирования web-приложений, построенных на платформе E3Core (разработка МАУ «ЦМИРиТ»). Исходными данными для системы служит формальное XML-описание метамодели тестируемого приложения, а результатом — набор исполняемых автотестов на базе Selenium WebDriver, их запуск и анализ полученных результатов. Прежде чем выбирать методы и алгоритмы решения задачи, необходимо рассмотреть природу обрабатываемой информации — особенности платформы E3Core и тестируемого приложения, — поскольку именно они определяют структуру входных данных и состав формируемых проверок.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Платформа E3Core как источник обрабатываемой информации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E3Core — это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области. Оператор работает с данными через единый трёхпанельный браузер объектов: слева располагается дерево объектов, справа сверху — список групп свойств выбранного объекта, справа снизу — представление выбранной группы свойств. Данные объекта отображаются группами свойств двух основных типов: карточка (в левой колонке — наименование атрибута, в правой — его значение) и табличное представление, или грид (свойства множества объектов выводятся строками таблицы). Если значение атрибута является ссылкой или справочником, его выбирают из выпадающего списка; операции над данными (добавление, сохранение изменений, удаление и др.) вызываются из меню «Редактирование». Поиск объектов выполняется через дерево поисков: оператор выбирает вид поиска, заполняет параметры и нажимает «Выполнить поиск», после чего результаты отображаются в отдельном окне.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Принципиально важно, что внешний вид рабочего пространства и набор выполняемых функций одинаковы для любой ППС: подсистемы различаются лишь составом меню и данными, которые целиком определяются моделью. Эта детерминированность интерфейса метамоделью и является основанием для автоматической генерации автотестов: если по модели однозначно строится интерфейс (карточки, гриды, формы поиска, пункты меню), то по той же модели можно построить и сценарии проверки этого интерфейса.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Тестируемое приложение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а также для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 (например, «ГСК/ОГСК», «Совещание»), так и вспомогательные: историю и документы, отображаемые вкладками-гридами внутри карточки родителя, узлы дерева (например, «Повестка совещания») и справочники (например, «Должностные лица», «Тип ГСК/ОГСК», «Причина смены»), доступные только при подборе значения ссылочного поля. Это разнообразие учитывается алгоритмом классификации сущностей (см. далее).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Конвейер обработки информации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Процесс обработки данных целесообразно представить как последовательность из пяти этапов (рисунок 1): разбор XML-модели, классификация сущностей, генерация тестового проекта, запуск тестов и анализ результатов. Этапы образуют конвейер: выход каждого этапа служит входом следующего. Такой подход обеспечивает воспроизводимость результата — при одинаковых входных данных (XML-модель и параметры) система формирует одинаковую структуру проекта и сопоставимый набор тестовых сценариев.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52487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1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248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 – Общая схема процесса обработки информации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Состав входных и выходных данных каждого этапа приведён в таблице 1.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Входные и выходные данные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Данные</w:t>
            </w:r>
          </w:p>
        </w:tc>
        <w:tc>
          <w:tcPr>
            <w:tcW w:type="dxa" w:w="7313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Состав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Входные данные</w:t>
            </w:r>
          </w:p>
        </w:tc>
        <w:tc>
          <w:tcPr>
            <w:tcW w:type="dxa" w:w="731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 и наименование подсистемы.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Промежуточные данные</w:t>
            </w:r>
          </w:p>
        </w:tc>
        <w:tc>
          <w:tcPr>
            <w:tcW w:type="dxa" w:w="731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Объектная модель метаданных в оперативной памяти; сгенерированный тестовый проект (объекты страниц, тестовые классы, инфраструктура, файл сборки); XML-отчёты о выполнении тестов.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Выходные данные</w:t>
            </w:r>
          </w:p>
        </w:tc>
        <w:tc>
          <w:tcPr>
            <w:tcW w:type="dxa" w:w="731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Сводная статистика прогона (всего/успешно/провалено/пропущено), отчёты в форматах HTML и CSV, снимки экрана по шагам, записи о прогоне и результатах в базе отчётов.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Входные данные — XML-модель метаданных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Входная XML-модель имеет древовидную структуру (рисунок 2). Корневой элемент модели содержит описание подсистемы (Category) и общий блок поисков (Searches). Подсистема включает множество сущностей (Object), каждая из которых описывается: ключом и именем хранимого представления (таблицы); набором связей с другими сущностями (AssociationObjectA); группами свойств (Properties). Группа свойств может быть карточкой или гридом и содержит атрибуты (Property) и, при наличии, операцию (Operation) с набором допустимых действий (Modifier). Блок поисков содержит описания поисковых запросов (Search) с параметрами (SearchParam) и колонками результата (SearchResultProperty).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576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2_xml_stru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57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2 – Структура XML-метамодели E3Core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Назначение основных элементов и атрибутов метамодели приведено в таблице 2.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Основные элементы XML-метамодели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Элемент / атрибут</w:t>
            </w:r>
          </w:p>
        </w:tc>
        <w:tc>
          <w:tcPr>
            <w:tcW w:type="dxa" w:w="5953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Object (name, keyName, featureName)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предметной области: имя, имя ключевого поля, имя хранимого представления (таблицы).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Properties (stereoType, type_link)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Группа свойств: карточка (type_link="P") или табличное представление (stereoType="Grid").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 (attrName, attrType)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Атрибут сущности: системное имя и тип значения (строка, число, дата, дата-время).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necessarily, mask, dmodule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 обязательности поля; маска ввода; способ ввода (в т. ч. выпадающий список для справочников).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 / Modifier (modifyType)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Операция и допустимые действия: I — добавить, U — сохранить, D — удалить, E — лог. изменить, A — в архив.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AssociationObjectA (addFromTree, flag_display)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Связь/ссылка на другую сущность; признаки отображения её узлом дерева или вкладкой.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 / SearchParam / SearchResultProperty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Поисковый запрос: его параметры и колонки результата.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входной XML-модели (с сокращениями) приведён в листинге 1; он иллюстрирует описание сущности «ГСК/ОГСК», её обязательных и ссылочных атрибутов, операции с действиями и связанного поискового запроса.</w:t>
      </w:r>
    </w:p>
    <w:p>
      <w:pPr>
        <w:keepNext/>
        <w:spacing w:before="120" w:after="40"/>
        <w:jc w:val="left"/>
      </w:pPr>
      <w:r>
        <w:rPr>
          <w:rFonts w:ascii="Times New Roman" w:hAnsi="Times New Roman" w:eastAsia="Times New Roman"/>
          <w:b w:val="0"/>
          <w:i w:val="0"/>
          <w:sz w:val="26"/>
        </w:rPr>
        <w:t>Листинг 1 – Фрагмент входной XML-модели метаданных (сокращённо)</w:t>
      </w:r>
    </w:p>
    <w:p>
      <w:pPr>
        <w:keepLines/>
        <w:spacing w:line="240" w:lineRule="auto" w:after="200"/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hd w:val="clear" w:color="auto" w:fill="F5F5F5"/>
      </w:pPr>
      <w:r>
        <w:rPr>
          <w:rFonts w:ascii="Consolas" w:hAnsi="Consolas" w:eastAsia="Consolas"/>
          <w:b w:val="0"/>
          <w:i w:val="0"/>
          <w:sz w:val="17"/>
        </w:rPr>
        <w:t>&lt;e3:Category CategoryName="...::Гаражно-строительные кооперативы" GUID="5EA196000083"&gt;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&lt;e:Object name="ГСК/ОГСК" keyName="KEY_GB_SOCIETY" featureName="V_GSK_GB_SOCIETY"&gt;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&lt;e:Properties stereoType="" name="Сведения ГСК/ОГСК" type_link="P"&gt;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&lt;e:Property name="Наименование ГСК/ОГСК" attrName="GBS_NAME"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          attrType="string" necessarily="1" flag_display="1" mask=""/&gt;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&lt;e:Property name="Тип ГСК/ОГСК" attrName="KEY_TYPE_SOCIETY" stereoType="Directory"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          dmodule="dropDownObjectList" attrType="decimal" necessarily="1"/&gt;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&lt;e:Property name="НДЗ" attrName="DATE_BEGIN" attrType="date"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          necessarily="1" mask="99.99.9999"/&gt;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&lt;e3:Operation operationMethod="SP_GB_SOCIETY"&gt;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  &lt;e3:Modifier title="Добавить"           modifyType="I"/&gt;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  &lt;e3:Modifier title="Сохранить Изменения" modifyType="U"/&gt;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  &lt;e3:Modifier title="Удалить"            modifyType="D"/&gt;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&lt;/e3:Operation&gt;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&lt;/e:Properties&gt;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&lt;e:Properties stereoType="Grid" name="История ГСК/ОГСК"&gt; ... &lt;/e:Properties&gt;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&lt;/e:Object&gt;</w:t>
      </w:r>
      <w:r>
        <w:rPr>
          <w:rFonts w:ascii="Consolas" w:hAnsi="Consolas" w:eastAsia="Consolas"/>
          <w:b w:val="0"/>
          <w:i w:val="0"/>
          <w:sz w:val="17"/>
        </w:rPr>
        <w:br/>
        <w:t>&lt;/e3:Category&gt;</w:t>
      </w:r>
      <w:r>
        <w:rPr>
          <w:rFonts w:ascii="Consolas" w:hAnsi="Consolas" w:eastAsia="Consolas"/>
          <w:b w:val="0"/>
          <w:i w:val="0"/>
          <w:sz w:val="17"/>
        </w:rPr>
        <w:br/>
        <w:t>&lt;e3:Searches&gt;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&lt;e3:Search name="по параметрам" searchObjectGUID="5EB3B333010E"&gt;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&lt;e3:SearchParam name="LAST_NAME" title="Фамилия" valueType="string"/&gt;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&lt;e3:SearchParam name="DATE_BEGIN_OT" title="НДЗ от" valueType="date" mask="99.99.9999"/&gt;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&lt;e3:SearchResult&gt;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  &lt;e3:SearchResultProperty name="SearchName" title="Наименование" visible="true"/&gt;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  &lt;/e3:SearchResult&gt;</w:t>
      </w:r>
      <w:r>
        <w:rPr>
          <w:rFonts w:ascii="Consolas" w:hAnsi="Consolas" w:eastAsia="Consolas"/>
          <w:b w:val="0"/>
          <w:i w:val="0"/>
          <w:sz w:val="17"/>
        </w:rPr>
        <w:br/>
        <w:t xml:space="preserve"> &lt;/e3:Search&gt;</w:t>
      </w:r>
      <w:r>
        <w:rPr>
          <w:rFonts w:ascii="Consolas" w:hAnsi="Consolas" w:eastAsia="Consolas"/>
          <w:b w:val="0"/>
          <w:i w:val="0"/>
          <w:sz w:val="17"/>
        </w:rPr>
        <w:br/>
        <w:t>&lt;/e3:Searches&gt;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Метод чтения XML-модели — потоковый разбор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чтения XML-модели выбран потоковый метод разбора на основе технологии StAX (Streaming API for XML). StAX относится к разбору «по запросу» (pull-парсер):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от разбора с построением полного дерева документа в памяти (DOM), потоковый метод не загружает весь файл целиком, экономно расходует память и позволяет читать только нужные элементы, пропуская остальные. Это удобно для объёмных файлов метаданных и снижает связанность анализатора с деталями формата.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Алгоритм разбора (рисунок 3)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тега. По достижении конца документа возвращается сформированная объектная модель.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069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3_stax_par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06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3 – Алгоритм потокового разбора XML-модели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Построение объектной модели и классификация сущностей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Результатом разбора является объектная модель — представление метамодели в виде связанных объектов в оперативной памяти: подсистема, сущности, группы свойств, атрибуты, операции, связи и поиски. На этой модели 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(таблица 3).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Категории сущностей по результату классификации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2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Категория</w:t>
            </w:r>
          </w:p>
        </w:tc>
        <w:tc>
          <w:tcPr>
            <w:tcW w:type="dxa" w:w="4876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  <w:tc>
          <w:tcPr>
            <w:tcW w:type="dxa" w:w="255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Что генерируется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PRIMARY</w:t>
              <w:br/>
              <w:t>(основная)</w:t>
            </w:r>
          </w:p>
        </w:tc>
        <w:tc>
          <w:tcPr>
            <w:tcW w:type="dxa" w:w="487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 страницы и полный тестовый класс.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</w:t>
              <w:br/>
              <w:t>(дочерняя)</w:t>
            </w:r>
          </w:p>
        </w:tc>
        <w:tc>
          <w:tcPr>
            <w:tcW w:type="dxa" w:w="487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Существует как вкладка-грид внутри родителя или как узел дерева; из главного меню недоступна.</w:t>
            </w:r>
          </w:p>
        </w:tc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Тест в составе карточки родителя.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REFERENCE_</w:t>
              <w:br/>
              <w:t>DICTIONARY</w:t>
              <w:br/>
              <w:t>(справочник)</w:t>
            </w:r>
          </w:p>
        </w:tc>
        <w:tc>
          <w:tcPr>
            <w:tcW w:type="dxa" w:w="487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Доступна только при подборе значения ссылочного поля (FK-пикер) или является системным справочником.</w:t>
            </w:r>
          </w:p>
        </w:tc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Самостоятельные тесты не генерируются.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Правила классификации применяются последовательно (рисунок 4). Сначала проверяется, не совпадает ли сущность по имени с какой-либо вкладкой-гридом внутри другой сущности (тогда это 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Если ни одно правило не сработало, сущность считается основной.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46706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4_classific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4670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4 – Алгоритм классификации сущностей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Метод организации автотестов — паттерн Page Object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Сгенерированные автотесты организуются по архитектурному шаблону «Объект страницы» (Page Object). Согласно этому шаблону, для каждой экранной формы (страницы)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(рисунок 5).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425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5_page_objec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5 – Взаимодействие компонентов по паттерну Page Object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Такое разделение даёт ключевое преимущество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Применительно к E3Core объект страницы учитывает особенности платформы: поля карточки адресуются по отображаемому (русскому) имени, поскольку устойчивых системных идентификаторов у ячеек табличной карточки нет; для ссылочных полей выполняется выбор значения из выпадающего списка, а действия (Добавить, Сохранить, Удалить) вызываются через меню «Редактирование».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Алгоритм генерации тестового проекта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а затем инфраструктурные компоненты, общие для всех тестов: единый драйвер браузера (вход в систему и выбор подсистемы выполняются один раз и переиспользуются), базовый тестовый класс с общими операциями навигации и набор тестовых данных. После этого для каждой сущности модели по результату классификации формируются: для основной — объект страницы и тестовый класс; для дочерней — тест в составе родителя; справочники пропускаются. По завершении сохраняется отчёт о классификации (рисунок 6).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41091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6_gene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4109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6 – Алгоритм генерации тестового проекта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Результаты генерации разных XML-моделей размещаются в отдельных подкаталогах по имени файла, что исключает их смешение, а повторная генерация той же модели полностью пересоздаёт её подкаталог, не оставляя устаревших тестов. Шаблонный подход обеспечивает единый стиль сгенерированного кода, повторяемость результата и расширяемость — добавление новых видов проверок по мере появления новых элементов в модели.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 (например, «ГСК/ОГСК» преобразуется в основу имени «GskOgsk»). Это гарантирует, что сгенерированные идентификаторы корректны и устойчивы при повторной генерации.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Алгоритм подбора тестовых данных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заполнения полей форм система подбирает значения по типу атрибута и маске ввода (рисунок 7).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ней: позиции цифр заполняются цифрами, позиции букв — буквами, разделители сохраняются; при этом маски, похожие на дату или дату-время, дают корректную текущую дату, а не произвольную последовательность цифр. Если маска не задана, значение выбирается по типу: для строки — осмысленный текстовый шаблон, для числа — случайное число в заданном диапазоне, для даты — сегодняшняя дата, для даты-времени — текущий момент со сдвигом назад (чтобы значение не оказалось в будущем). Для обязательных строковых полей к значению добавляется суффикс уникальности, что позволяет затем найти созданную запись в таблице результатов.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906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7_test_dat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90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7 – Алгоритм подбора тестовых данных по типу и маске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</w:t>
      </w: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Состав формируемых проверок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(Modifier) и связанными поисками. Предусмотрены три уровня покрытия — смоук, базовый и полный, — отличающиеся глубиной проверок. Перечень формируемых проверок приведён в таблице 4.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Состав проверок, формируемых для тестируемой сущности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Проверка</w:t>
            </w:r>
          </w:p>
        </w:tc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Условие генерации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Наличие полей формы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Всегда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Навигация к сущности и отображение всех полей карточки/грида.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Валидация обязательных полей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Есть обязательные поля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Отправка пустой формы должна отклоняться системой.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Частичное заполнение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Два и более обязательных полей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Заполнено только первое поле — отправка должна отклоняться.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Создание записи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«Добавить» (I)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Заполнение полей и сохранение; проверка появления записи.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Изменение записи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«Сохранить» (U)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Изменение значения существующей записи.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Удаление записи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«Удалить» (D)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Удаление записи из таблицы.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Лог. изменение / архив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Действия E / A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Сохранение изменения с историей; перевод в архив.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Поиск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Есть связанный поиск с параметрами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Заполнение параметров и выполнение поиска.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Проверка грида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Есть вкладка-грид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Отображение колонок и кнопок табличного представления.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Times New Roman" w:hAnsi="Times New Roman" w:eastAsia="Times New Roman"/>
          <w:b/>
          <w:i w:val="0"/>
          <w:sz w:val="28"/>
        </w:rPr>
        <w:t>Запуск тестов и анализ результатов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Запуск сгенерированных тестов выполняется средствами системы сборки Maven в стандартной фазе выполнения тестов через подключаемый модуль Surefire. Surefire выполняет тесты и формирует отчёты в формате XML в каталоге результатов. Тесты управляют реальным браузером через Selenium WebDriver: открывают тестируемое приложение, выполняют вход, навигацию и проверки, попутно сохраняя снимки экрана по шагам.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Анализ результатов (рисунок 8)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(HTML и CSV) и сохраняются в базе отчётов для последующего просмотра истории прогонов.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2520000" cy="66322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8_run_analyz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6632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8 – Алгоритм запуска тестов и анализа результатов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хранения истории прогонов применяется встраиваемая СУБД,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Таким образом, для решения поставленной задачи выбраны и обоснованы следующие методы и алгоритмы: потоковый разбор XML-модели (StAX), классификация сущностей по доступности из интерфейса, шаблонная генерация тестового проекта с организацией тестов по паттерну Page Object, подбор тестовых данных по типу и маске, запуск тестов средствами Maven Surefire с последующим разбором отчётов и сохранением истории. Совокупность этих методов образует воспроизводимый конвейер преобразования XML-метамодели в выполненные автотесты. Проектирование структур данных и классов, реализующих описанные алгоритмы, выполняется в последующих разделах (1.4–1.5).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