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360" w:before="240" w:after="120"/>
        <w:ind w:firstLine="0"/>
        <w:jc w:val="left"/>
      </w:pPr>
      <w:r>
        <w:rPr>
          <w:rFonts w:ascii="Times New Roman" w:hAnsi="Times New Roman" w:cs="Times New Roman" w:eastAsia="Times New Roman"/>
          <w:b/>
          <w:sz w:val="28"/>
        </w:rPr>
        <w:t>1.4.1 Определение вариантов использования</w:t>
      </w:r>
    </w:p>
    <w:p>
      <w:pPr>
        <w:spacing w:lineRule="auto" w:line="360" w:before="0" w:after="0"/>
        <w:ind w:firstLine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Проектирование логики системы начинается с анализа требований к её функциональности. В ходе анализа выявляют внешних по отношению к системе действующих лиц и перечень аспектов её поведения при взаимодействии с ними. Такие аспекты поведения называют вариантами использования.</w:t>
      </w:r>
    </w:p>
    <w:p>
      <w:pPr>
        <w:spacing w:lineRule="auto" w:line="360" w:before="0" w:after="0"/>
        <w:ind w:firstLine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Основным действующим лицом проектируемой системы является инженер по тестированию. Кроме него во взаимодействии участвуют две внешние сущности: тестируемое приложение, над которым выполняются проверки, и хранилище результатов, в котором сохраняются итоги прогонов.</w:t>
      </w:r>
    </w:p>
    <w:p>
      <w:pPr>
        <w:spacing w:lineRule="auto" w:line="360" w:before="0" w:after="0"/>
        <w:ind w:firstLine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Для проектируемой системы выделены следующие варианты использования.</w:t>
      </w:r>
    </w:p>
    <w:p>
      <w:pPr>
        <w:spacing w:lineRule="auto" w:line="360" w:before="0" w:after="0"/>
        <w:ind w:firstLine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Основные варианты использования:</w:t>
      </w:r>
    </w:p>
    <w:p>
      <w:pPr>
        <w:spacing w:lineRule="auto" w:line="360" w:before="0" w:after="0"/>
        <w:ind w:firstLine="425"/>
        <w:jc w:val="both"/>
      </w:pPr>
      <w:r>
        <w:rPr>
          <w:rFonts w:ascii="Times New Roman" w:hAnsi="Times New Roman" w:cs="Times New Roman" w:eastAsia="Times New Roman"/>
          <w:sz w:val="28"/>
        </w:rPr>
        <w:t>– загрузить модель из файла;</w:t>
      </w:r>
    </w:p>
    <w:p>
      <w:pPr>
        <w:spacing w:lineRule="auto" w:line="360" w:before="0" w:after="0"/>
        <w:ind w:firstLine="425"/>
        <w:jc w:val="both"/>
      </w:pPr>
      <w:r>
        <w:rPr>
          <w:rFonts w:ascii="Times New Roman" w:hAnsi="Times New Roman" w:cs="Times New Roman" w:eastAsia="Times New Roman"/>
          <w:sz w:val="28"/>
        </w:rPr>
        <w:t>– сформировать набор тестов;</w:t>
      </w:r>
    </w:p>
    <w:p>
      <w:pPr>
        <w:spacing w:lineRule="auto" w:line="360" w:before="0" w:after="0"/>
        <w:ind w:firstLine="425"/>
        <w:jc w:val="both"/>
      </w:pPr>
      <w:r>
        <w:rPr>
          <w:rFonts w:ascii="Times New Roman" w:hAnsi="Times New Roman" w:cs="Times New Roman" w:eastAsia="Times New Roman"/>
          <w:sz w:val="28"/>
        </w:rPr>
        <w:t>– выполнить все тесты;</w:t>
      </w:r>
    </w:p>
    <w:p>
      <w:pPr>
        <w:spacing w:lineRule="auto" w:line="360" w:before="0" w:after="0"/>
        <w:ind w:firstLine="425"/>
        <w:jc w:val="both"/>
      </w:pPr>
      <w:r>
        <w:rPr>
          <w:rFonts w:ascii="Times New Roman" w:hAnsi="Times New Roman" w:cs="Times New Roman" w:eastAsia="Times New Roman"/>
          <w:sz w:val="28"/>
        </w:rPr>
        <w:t>– выполнить выбранные тесты;</w:t>
      </w:r>
    </w:p>
    <w:p>
      <w:pPr>
        <w:spacing w:lineRule="auto" w:line="360" w:before="0" w:after="0"/>
        <w:ind w:firstLine="425"/>
        <w:jc w:val="both"/>
      </w:pPr>
      <w:r>
        <w:rPr>
          <w:rFonts w:ascii="Times New Roman" w:hAnsi="Times New Roman" w:cs="Times New Roman" w:eastAsia="Times New Roman"/>
          <w:sz w:val="28"/>
        </w:rPr>
        <w:t>– просмотреть результаты прогона.</w:t>
      </w:r>
    </w:p>
    <w:p>
      <w:pPr>
        <w:spacing w:lineRule="auto" w:line="360" w:before="0" w:after="0"/>
        <w:ind w:firstLine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Вспомогательные варианты использования:</w:t>
      </w:r>
    </w:p>
    <w:p>
      <w:pPr>
        <w:spacing w:lineRule="auto" w:line="360" w:before="0" w:after="0"/>
        <w:ind w:firstLine="425"/>
        <w:jc w:val="both"/>
      </w:pPr>
      <w:r>
        <w:rPr>
          <w:rFonts w:ascii="Times New Roman" w:hAnsi="Times New Roman" w:cs="Times New Roman" w:eastAsia="Times New Roman"/>
          <w:sz w:val="28"/>
        </w:rPr>
        <w:t>– настроить параметры подключения к тестируемому приложению;</w:t>
      </w:r>
    </w:p>
    <w:p>
      <w:pPr>
        <w:spacing w:lineRule="auto" w:line="360" w:before="0" w:after="0"/>
        <w:ind w:firstLine="425"/>
        <w:jc w:val="both"/>
      </w:pPr>
      <w:r>
        <w:rPr>
          <w:rFonts w:ascii="Times New Roman" w:hAnsi="Times New Roman" w:cs="Times New Roman" w:eastAsia="Times New Roman"/>
          <w:sz w:val="28"/>
        </w:rPr>
        <w:t>– сохранить результаты в хранилище;</w:t>
      </w:r>
    </w:p>
    <w:p>
      <w:pPr>
        <w:spacing w:lineRule="auto" w:line="360" w:before="0" w:after="0"/>
        <w:ind w:firstLine="425"/>
        <w:jc w:val="both"/>
      </w:pPr>
      <w:r>
        <w:rPr>
          <w:rFonts w:ascii="Times New Roman" w:hAnsi="Times New Roman" w:cs="Times New Roman" w:eastAsia="Times New Roman"/>
          <w:sz w:val="28"/>
        </w:rPr>
        <w:t>– просмотреть историю прогонов.</w:t>
      </w:r>
    </w:p>
    <w:p>
      <w:pPr>
        <w:spacing w:lineRule="auto" w:line="360" w:before="0" w:after="0"/>
        <w:ind w:firstLine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Между вариантами использования установлены связи. Вариант «сформировать набор тестов» связан отношением include с вариантом «загрузить модель из файла», поскольку формирование тестов невозможно без предварительно загруженной модели. Вариант «выполнить все тесты» связан отношением include с вариантом «сохранить результаты». Вариант «выполнить выбранные тесты» связан отношением extend с вариантом «выполнить все тесты», так как отличается от него лишь дополнительным действием — предварительным отбором проверяемых сущностей. Диаграмма вариантов использования приведена на рисунке 1.4.1.</w:t>
      </w:r>
    </w:p>
    <w:p>
      <w:pPr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14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4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before="0" w:after="120"/>
        <w:ind w:firstLine="425"/>
        <w:jc w:val="both"/>
      </w:pPr>
      <w:r>
        <w:rPr>
          <w:rFonts w:ascii="Times New Roman" w:hAnsi="Times New Roman" w:cs="Times New Roman" w:eastAsia="Times New Roman"/>
          <w:sz w:val="28"/>
        </w:rPr>
        <w:t>Рисунок 1.4.1 – Диаграмма вариантов использования проектируемой системы</w:t>
      </w:r>
    </w:p>
    <w:p>
      <w:pPr>
        <w:spacing w:lineRule="auto" w:line="360" w:before="0" w:after="0"/>
        <w:ind w:firstLine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Краткое описание основного варианта использования «сформировать набор тестов» приведено в таблице 1.4.1.</w:t>
      </w:r>
    </w:p>
    <w:p>
      <w:pPr>
        <w:spacing w:lineRule="auto" w:line="360" w:before="120" w:after="4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1.4.1 – Краткое описание основного варианта использования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Поле описания</w:t>
            </w:r>
          </w:p>
        </w:tc>
        <w:tc>
          <w:tcPr>
            <w:tcW w:type="dxa" w:w="48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Содержание</w:t>
            </w:r>
          </w:p>
        </w:tc>
      </w:tr>
      <w:tr>
        <w:tc>
          <w:tcPr>
            <w:tcW w:type="dxa" w:w="48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Название</w:t>
            </w:r>
          </w:p>
        </w:tc>
        <w:tc>
          <w:tcPr>
            <w:tcW w:type="dxa" w:w="48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Сформировать набор тестов</w:t>
            </w:r>
          </w:p>
        </w:tc>
      </w:tr>
      <w:tr>
        <w:tc>
          <w:tcPr>
            <w:tcW w:type="dxa" w:w="48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Цель</w:t>
            </w:r>
          </w:p>
        </w:tc>
        <w:tc>
          <w:tcPr>
            <w:tcW w:type="dxa" w:w="48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Получить набор проверок по загруженной модели</w:t>
            </w:r>
          </w:p>
        </w:tc>
      </w:tr>
      <w:tr>
        <w:tc>
          <w:tcPr>
            <w:tcW w:type="dxa" w:w="48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Действующее лицо</w:t>
            </w:r>
          </w:p>
        </w:tc>
        <w:tc>
          <w:tcPr>
            <w:tcW w:type="dxa" w:w="48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Инженер по тестированию</w:t>
            </w:r>
          </w:p>
        </w:tc>
      </w:tr>
      <w:tr>
        <w:tc>
          <w:tcPr>
            <w:tcW w:type="dxa" w:w="48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Тип</w:t>
            </w:r>
          </w:p>
        </w:tc>
        <w:tc>
          <w:tcPr>
            <w:tcW w:type="dxa" w:w="48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Основной</w:t>
            </w:r>
          </w:p>
        </w:tc>
      </w:tr>
      <w:tr>
        <w:tc>
          <w:tcPr>
            <w:tcW w:type="dxa" w:w="48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Краткое описание</w:t>
            </w:r>
          </w:p>
        </w:tc>
        <w:tc>
          <w:tcPr>
            <w:tcW w:type="dxa" w:w="48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Пользователь указывает модель и параметры подключения; система разбирает модель, определяет вид каждой сущности и формирует для неё набор проверок.</w:t>
            </w:r>
          </w:p>
        </w:tc>
      </w:tr>
    </w:tbl>
    <w:p>
      <w:pPr>
        <w:spacing w:lineRule="auto" w:line="360" w:before="240" w:after="120"/>
        <w:ind w:firstLine="0"/>
        <w:jc w:val="left"/>
      </w:pPr>
      <w:r>
        <w:rPr>
          <w:rFonts w:ascii="Times New Roman" w:hAnsi="Times New Roman" w:cs="Times New Roman" w:eastAsia="Times New Roman"/>
          <w:b/>
          <w:sz w:val="28"/>
        </w:rPr>
        <w:t>1.4.2 Построение концептуальной модели предметной области</w:t>
      </w:r>
    </w:p>
    <w:p>
      <w:pPr>
        <w:spacing w:lineRule="auto" w:line="360" w:before="0" w:after="0"/>
        <w:ind w:firstLine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Концептуальная модель оперирует понятиями предметной области, их признаками и отношениями между ними. Множество понятий-кандидатов формируют из существительных, характеризующих предметную область в описании вариантов использования. При разделении понятий и признаков пользуются правилом: если рассматриваемый объект не является числом или текстом, то это, скорее всего, понятие; в противном случае — признак.</w:t>
      </w:r>
    </w:p>
    <w:p>
      <w:pPr>
        <w:spacing w:lineRule="auto" w:line="360" w:before="0" w:after="0"/>
        <w:ind w:firstLine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Центральным понятием предметной области является модель — описание подсистемы, выгруженное из тестируемого приложения. Модель содержит сущности. Каждая сущность включает группы свойств, а каждая группа свойств — поля. С сущностью также связаны операции (создание, изменение, удаление, архивирование) и поиски. Сущности могут быть связаны между собой отношением «состоит из», образуя пары «родитель — потомок». Перечисленные понятия и связи между ними с указанием множественности приведены на рисунке 1.4.2.</w:t>
      </w:r>
    </w:p>
    <w:p>
      <w:pPr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35780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78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before="0" w:after="120"/>
        <w:ind w:firstLine="425"/>
        <w:jc w:val="both"/>
      </w:pPr>
      <w:r>
        <w:rPr>
          <w:rFonts w:ascii="Times New Roman" w:hAnsi="Times New Roman" w:cs="Times New Roman" w:eastAsia="Times New Roman"/>
          <w:sz w:val="28"/>
        </w:rPr>
        <w:t>Рисунок 1.4.2 – Концептуальная модель предметной области</w:t>
      </w:r>
    </w:p>
    <w:p>
      <w:pPr>
        <w:spacing w:lineRule="auto" w:line="360" w:before="0" w:after="0"/>
        <w:ind w:firstLine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Помимо ассоциаций в модели присутствуют отношения обобщения. Понятие «сущность» является обобщающим для двух видов сущностей: главной, имеющей собственную точку входа, и дочерней, существующей только в составе другой сущности. Аналогично понятие «способ ведения данных» обобщает два способа работы с записями: через отдельную карточку и непосредственно в таблице. Отношения обобщения показаны на рисунке 1.4.3.</w:t>
      </w:r>
    </w:p>
    <w:p>
      <w:pPr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036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036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before="0" w:after="120"/>
        <w:ind w:firstLine="425"/>
        <w:jc w:val="both"/>
      </w:pPr>
      <w:r>
        <w:rPr>
          <w:rFonts w:ascii="Times New Roman" w:hAnsi="Times New Roman" w:cs="Times New Roman" w:eastAsia="Times New Roman"/>
          <w:sz w:val="28"/>
        </w:rPr>
        <w:t>Рисунок 1.4.3 – Отношения обобщения в концептуальной модели</w:t>
      </w:r>
    </w:p>
    <w:p>
      <w:pPr>
        <w:spacing w:lineRule="auto" w:line="360" w:before="0" w:after="0"/>
        <w:ind w:firstLine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Распределение выявленных понятий-кандидатов между понятиями и признаками приведено в таблице 1.4.2.</w:t>
      </w:r>
    </w:p>
    <w:p>
      <w:pPr>
        <w:spacing w:lineRule="auto" w:line="360" w:before="120" w:after="4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1.4.2 – Перечень понятий-кандидатов предметной области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Понятие-кандидат</w:t>
            </w:r>
          </w:p>
        </w:tc>
        <w:tc>
          <w:tcPr>
            <w:tcW w:type="dxa" w:w="48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Вид</w:t>
            </w:r>
          </w:p>
        </w:tc>
      </w:tr>
      <w:tr>
        <w:tc>
          <w:tcPr>
            <w:tcW w:type="dxa" w:w="48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Модель</w:t>
            </w:r>
          </w:p>
        </w:tc>
        <w:tc>
          <w:tcPr>
            <w:tcW w:type="dxa" w:w="48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Понятие</w:t>
            </w:r>
          </w:p>
        </w:tc>
      </w:tr>
      <w:tr>
        <w:tc>
          <w:tcPr>
            <w:tcW w:type="dxa" w:w="48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Сущность</w:t>
            </w:r>
          </w:p>
        </w:tc>
        <w:tc>
          <w:tcPr>
            <w:tcW w:type="dxa" w:w="48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Понятие</w:t>
            </w:r>
          </w:p>
        </w:tc>
      </w:tr>
      <w:tr>
        <w:tc>
          <w:tcPr>
            <w:tcW w:type="dxa" w:w="48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Группа свойств</w:t>
            </w:r>
          </w:p>
        </w:tc>
        <w:tc>
          <w:tcPr>
            <w:tcW w:type="dxa" w:w="48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Понятие</w:t>
            </w:r>
          </w:p>
        </w:tc>
      </w:tr>
      <w:tr>
        <w:tc>
          <w:tcPr>
            <w:tcW w:type="dxa" w:w="48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Поле</w:t>
            </w:r>
          </w:p>
        </w:tc>
        <w:tc>
          <w:tcPr>
            <w:tcW w:type="dxa" w:w="48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Понятие</w:t>
            </w:r>
          </w:p>
        </w:tc>
      </w:tr>
      <w:tr>
        <w:tc>
          <w:tcPr>
            <w:tcW w:type="dxa" w:w="48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Операция</w:t>
            </w:r>
          </w:p>
        </w:tc>
        <w:tc>
          <w:tcPr>
            <w:tcW w:type="dxa" w:w="48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Понятие</w:t>
            </w:r>
          </w:p>
        </w:tc>
      </w:tr>
      <w:tr>
        <w:tc>
          <w:tcPr>
            <w:tcW w:type="dxa" w:w="48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Поиск</w:t>
            </w:r>
          </w:p>
        </w:tc>
        <w:tc>
          <w:tcPr>
            <w:tcW w:type="dxa" w:w="48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Понятие</w:t>
            </w:r>
          </w:p>
        </w:tc>
      </w:tr>
      <w:tr>
        <w:tc>
          <w:tcPr>
            <w:tcW w:type="dxa" w:w="48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Наименование</w:t>
            </w:r>
          </w:p>
        </w:tc>
        <w:tc>
          <w:tcPr>
            <w:tcW w:type="dxa" w:w="48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Признак</w:t>
            </w:r>
          </w:p>
        </w:tc>
      </w:tr>
      <w:tr>
        <w:tc>
          <w:tcPr>
            <w:tcW w:type="dxa" w:w="48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Тип данных поля</w:t>
            </w:r>
          </w:p>
        </w:tc>
        <w:tc>
          <w:tcPr>
            <w:tcW w:type="dxa" w:w="48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Признак</w:t>
            </w:r>
          </w:p>
        </w:tc>
      </w:tr>
      <w:tr>
        <w:tc>
          <w:tcPr>
            <w:tcW w:type="dxa" w:w="48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Обязательность поля</w:t>
            </w:r>
          </w:p>
        </w:tc>
        <w:tc>
          <w:tcPr>
            <w:tcW w:type="dxa" w:w="48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Признак</w:t>
            </w:r>
          </w:p>
        </w:tc>
      </w:tr>
    </w:tbl>
    <w:p>
      <w:pPr>
        <w:spacing w:lineRule="auto" w:line="360" w:before="240" w:after="120"/>
        <w:ind w:firstLine="0"/>
        <w:jc w:val="left"/>
      </w:pPr>
      <w:r>
        <w:rPr>
          <w:rFonts w:ascii="Times New Roman" w:hAnsi="Times New Roman" w:cs="Times New Roman" w:eastAsia="Times New Roman"/>
          <w:b/>
          <w:sz w:val="28"/>
        </w:rPr>
        <w:t>1.4.3 Описание поведения. Системные события и операции</w:t>
      </w:r>
    </w:p>
    <w:p>
      <w:pPr>
        <w:spacing w:lineRule="auto" w:line="360" w:before="0" w:after="0"/>
        <w:ind w:firstLine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Концептуальная модель характеризует статические свойства проектируемой системы. Для описания особенностей её поведения используют диаграмму последовательностей. При её построении система рассматривается как единое целое — «чёрный ящик», — а внимание сосредотачивается на событиях, которые порождает действующее лицо, и на ответных действиях системы.</w:t>
      </w:r>
    </w:p>
    <w:p>
      <w:pPr>
        <w:spacing w:lineRule="auto" w:line="360" w:before="0" w:after="0"/>
        <w:ind w:firstLine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События, порождаемые для системы действующим лицом, называют системными. Каждое системное событие инициирует выполнение соответствующей системной операции. Для основного сценария работы выявлены следующие системные события: выбрать файл модели, сформировать набор тестов, выполнить тесты. На каждое из них система отвечает: подтверждением загрузки модели, сообщением о готовности набора тестов и результатами прогона соответственно. Диаграмма последовательностей приведена на рисунке 1.4.4.</w:t>
      </w:r>
    </w:p>
    <w:p>
      <w:pPr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67655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76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before="0" w:after="120"/>
        <w:ind w:firstLine="425"/>
        <w:jc w:val="both"/>
      </w:pPr>
      <w:r>
        <w:rPr>
          <w:rFonts w:ascii="Times New Roman" w:hAnsi="Times New Roman" w:cs="Times New Roman" w:eastAsia="Times New Roman"/>
          <w:sz w:val="28"/>
        </w:rPr>
        <w:t>Рисунок 1.4.4 – Диаграмма последовательностей системы</w:t>
      </w:r>
    </w:p>
    <w:p>
      <w:pPr>
        <w:spacing w:lineRule="auto" w:line="360" w:before="0" w:after="0"/>
        <w:ind w:firstLine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Каждую системную операцию необходимо описать, указав её имя, обязанности, тип, ссылки на варианты использования, обрабатываемые исключения, а также предусловие и постусловие. Описание системной операции «сформировать набор тестов» приведено в таблице 1.4.3.</w:t>
      </w:r>
    </w:p>
    <w:p>
      <w:pPr>
        <w:spacing w:lineRule="auto" w:line="360" w:before="120" w:after="4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1.4.3 – Описание системной операции «сформировать набор тестов»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Раздел описания</w:t>
            </w:r>
          </w:p>
        </w:tc>
        <w:tc>
          <w:tcPr>
            <w:tcW w:type="dxa" w:w="48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Содержание</w:t>
            </w:r>
          </w:p>
        </w:tc>
      </w:tr>
      <w:tr>
        <w:tc>
          <w:tcPr>
            <w:tcW w:type="dxa" w:w="48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Имя</w:t>
            </w:r>
          </w:p>
        </w:tc>
        <w:tc>
          <w:tcPr>
            <w:tcW w:type="dxa" w:w="48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Сформировать набор тестов</w:t>
            </w:r>
          </w:p>
        </w:tc>
      </w:tr>
      <w:tr>
        <w:tc>
          <w:tcPr>
            <w:tcW w:type="dxa" w:w="48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Обязанности</w:t>
            </w:r>
          </w:p>
        </w:tc>
        <w:tc>
          <w:tcPr>
            <w:tcW w:type="dxa" w:w="48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Сформировать набор проверок по загруженной модели</w:t>
            </w:r>
          </w:p>
        </w:tc>
      </w:tr>
      <w:tr>
        <w:tc>
          <w:tcPr>
            <w:tcW w:type="dxa" w:w="48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Тип</w:t>
            </w:r>
          </w:p>
        </w:tc>
        <w:tc>
          <w:tcPr>
            <w:tcW w:type="dxa" w:w="48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Системная</w:t>
            </w:r>
          </w:p>
        </w:tc>
      </w:tr>
      <w:tr>
        <w:tc>
          <w:tcPr>
            <w:tcW w:type="dxa" w:w="48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Ссылки</w:t>
            </w:r>
          </w:p>
        </w:tc>
        <w:tc>
          <w:tcPr>
            <w:tcW w:type="dxa" w:w="48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Вариант использования «сформировать набор тестов»</w:t>
            </w:r>
          </w:p>
        </w:tc>
      </w:tr>
      <w:tr>
        <w:tc>
          <w:tcPr>
            <w:tcW w:type="dxa" w:w="48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Исключения</w:t>
            </w:r>
          </w:p>
        </w:tc>
        <w:tc>
          <w:tcPr>
            <w:tcW w:type="dxa" w:w="48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Модель не загружена; у сущности не заданы операции — проверки не формируются</w:t>
            </w:r>
          </w:p>
        </w:tc>
      </w:tr>
      <w:tr>
        <w:tc>
          <w:tcPr>
            <w:tcW w:type="dxa" w:w="48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Предусловие</w:t>
            </w:r>
          </w:p>
        </w:tc>
        <w:tc>
          <w:tcPr>
            <w:tcW w:type="dxa" w:w="48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Модель загружена и содержит хотя бы одну сущность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Постусловие</w:t>
            </w:r>
          </w:p>
        </w:tc>
        <w:tc>
          <w:tcPr>
            <w:tcW w:type="dxa" w:w="48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Сформирован набор проверок для всех пригодных сущностей</w:t>
            </w:r>
          </w:p>
        </w:tc>
      </w:tr>
    </w:tbl>
    <w:p>
      <w:pPr>
        <w:spacing w:lineRule="auto" w:line="360" w:before="240" w:after="120"/>
        <w:ind w:firstLine="0"/>
        <w:jc w:val="left"/>
      </w:pPr>
      <w:r>
        <w:rPr>
          <w:rFonts w:ascii="Times New Roman" w:hAnsi="Times New Roman" w:cs="Times New Roman" w:eastAsia="Times New Roman"/>
          <w:b/>
          <w:sz w:val="28"/>
        </w:rPr>
        <w:t>1.4.4 Диаграмма деятельностей</w:t>
      </w:r>
    </w:p>
    <w:p>
      <w:pPr>
        <w:spacing w:lineRule="auto" w:line="360" w:before="0" w:after="0"/>
        <w:ind w:firstLine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Диаграмма деятельностей уточняет основной вариант использования, представляя его как обобщённый алгоритм. Под деятельностью понимают отдельную задачу, которую необходимо выполнить. Альтернативные пути обозначают ромбом с указанием условия и подписями ветвей «да» и «нет»; повторяющуюся для каждого элемента деятельность помечают символом «*».</w:t>
      </w:r>
    </w:p>
    <w:p>
      <w:pPr>
        <w:spacing w:lineRule="auto" w:line="360" w:before="0" w:after="0"/>
        <w:ind w:firstLine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Работа системы начинается с выбора файла модели и параметров. После загрузки модели проверяется её корректность: при ошибке выдаётся сообщение и работа прекращается. Для корректной модели определяется вид каждой сущности, после чего для каждой сущности проверяется наличие заданных операций. Если операции не заданы, сущность пропускается; иначе в зависимости от способа ведения данных формируются проверки для карточки либо для таблицы. Затем формируются вспомогательные элементы, выполняются тесты, их результаты сохраняются и оформляются в виде отчёта. Диаграмма деятельностей приведена на рисунке 1.4.5.</w:t>
      </w:r>
    </w:p>
    <w:p>
      <w:pPr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51999" cy="685865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6858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before="0" w:after="120"/>
        <w:ind w:firstLine="425"/>
        <w:jc w:val="both"/>
      </w:pPr>
      <w:r>
        <w:rPr>
          <w:rFonts w:ascii="Times New Roman" w:hAnsi="Times New Roman" w:cs="Times New Roman" w:eastAsia="Times New Roman"/>
          <w:sz w:val="28"/>
        </w:rPr>
        <w:t>Рисунок 1.4.5 – Диаграмма деятельностей основного сценария работы системы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