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3726551"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6551" cy="5779699"/>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Отдельный тест-класс не создаётся; справочник используется при подборе значений ссылочных полей в тестах основных сущностей.</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 При этом справочники не отбрасываются: они полностью разбираются в объектную модель и используются как источник значений для ссылочных полей (выбор значения через FK-пикер) при заполнении форм основных и дочерних сущностей — отдельный тест-класс для них лишь не создаётся.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keepNext/>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keepNext/>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4554"/>
        <w:gridCol w:w="1400"/>
      </w:tblGrid>
      <w:tr w:rsidR="00D77C63" w:rsidRPr="000D3620" w:rsidTr="00D77C63">
        <w:trPr>
          <w:cantSplit/>
        </w:trPr>
        <w:tc>
          <w:tcPr>
            <w:tcW w:w="1304" w:type="dxa"/>
          </w:tcPr>
          <w:p w:rsidR="00D77C63" w:rsidRPr="000D3620" w:rsidRDefault="00D77C63" w:rsidP="00D77C63">
            <w:pPr>
              <w:keepNext/>
              <w:jc w:val="center"/>
            </w:pPr>
            <w:r w:rsidRPr="000D3620">
              <w:t>Пакет</w:t>
            </w:r>
          </w:p>
        </w:tc>
        <w:tc>
          <w:tcPr>
            <w:tcW w:w="2093" w:type="dxa"/>
          </w:tcPr>
          <w:p w:rsidR="00D77C63" w:rsidRPr="000D3620" w:rsidRDefault="00D77C63" w:rsidP="00D77C63">
            <w:pPr>
              <w:keepNext/>
              <w:jc w:val="center"/>
            </w:pPr>
            <w:r w:rsidRPr="000D3620">
              <w:t>Слой</w:t>
            </w:r>
          </w:p>
        </w:tc>
        <w:tc>
          <w:tcPr>
            <w:tcW w:w="4554" w:type="dxa"/>
          </w:tcPr>
          <w:p w:rsidR="00D77C63" w:rsidRPr="000D3620" w:rsidRDefault="00D77C63" w:rsidP="00D77C63">
            <w:pPr>
              <w:pStyle w:val="affe"/>
              <w:keepNext/>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c>
          <w:tcPr>
            <w:tcW w:w="1400" w:type="dxa"/>
          </w:tcPr>
          <w:p>
            <w:pPr>
              <w:keepNext/>
              <w:spacing w:before="0" w:after="0"/>
              <w:jc w:val="center"/>
            </w:pPr>
            <w:r/>
            <w:r>
              <w:rPr>
                <w:rFonts w:ascii="Times New Roman" w:hAnsi="Times New Roman" w:cs="Times New Roman"/>
                <w:sz w:val="24"/>
              </w:rPr>
              <w:t>Количество</w:t>
              <w:br/>
            </w:r>
            <w:r>
              <w:rPr>
                <w:rFonts w:ascii="Times New Roman" w:hAnsi="Times New Roman" w:cs="Times New Roman"/>
                <w:sz w:val="24"/>
              </w:rPr>
              <w:t>классов</w:t>
            </w:r>
          </w:p>
        </w:tc>
      </w:tr>
      <w:tr w:rsidR="00CD1D5E" w:rsidRPr="000D3620" w:rsidTr="00D77C63">
        <w:trPr>
          <w:cantSplit/>
        </w:trPr>
        <w:tc>
          <w:tcPr>
            <w:tcW w:w="1304" w:type="dxa"/>
          </w:tcPr>
          <w:p w:rsidR="00CD1D5E" w:rsidRPr="000D3620" w:rsidRDefault="00CD1D5E" w:rsidP="00D77C63">
            <w:pPr>
              <w:keepNext/>
              <w:jc w:val="center"/>
              <w:rPr>
                <w:lang w:val="en-US"/>
              </w:rPr>
            </w:pPr>
            <w:r w:rsidRPr="000D3620">
              <w:rPr>
                <w:lang w:val="en-US"/>
              </w:rPr>
              <w:t>1</w:t>
            </w:r>
          </w:p>
        </w:tc>
        <w:tc>
          <w:tcPr>
            <w:tcW w:w="2093" w:type="dxa"/>
          </w:tcPr>
          <w:p w:rsidR="00CD1D5E" w:rsidRPr="000D3620" w:rsidRDefault="00CD1D5E" w:rsidP="00D77C63">
            <w:pPr>
              <w:keepNext/>
              <w:jc w:val="center"/>
              <w:rPr>
                <w:lang w:val="en-US"/>
              </w:rPr>
            </w:pPr>
            <w:r w:rsidRPr="000D3620">
              <w:rPr>
                <w:lang w:val="en-US"/>
              </w:rPr>
              <w:t>2</w:t>
            </w:r>
          </w:p>
        </w:tc>
        <w:tc>
          <w:tcPr>
            <w:tcW w:w="4554" w:type="dxa"/>
          </w:tcPr>
          <w:p w:rsidR="00CD1D5E" w:rsidRPr="000D3620" w:rsidRDefault="00CD1D5E" w:rsidP="00D77C63">
            <w:pPr>
              <w:pStyle w:val="affe"/>
              <w:keepNext/>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c>
          <w:tcPr>
            <w:tcW w:w="1400" w:type="dxa"/>
          </w:tcPr>
          <w:p>
            <w:pPr>
              <w:keepNext/>
              <w:spacing w:before="0" w:after="0"/>
              <w:jc w:val="center"/>
            </w:pPr>
            <w:r/>
            <w:r>
              <w:rPr>
                <w:rFonts w:ascii="Times New Roman" w:hAnsi="Times New Roman" w:cs="Times New Roman"/>
                <w:sz w:val="24"/>
              </w:rPr>
              <w:t>4</w:t>
            </w:r>
          </w:p>
        </w:tc>
      </w:tr>
      <w:tr w:rsidR="00D77C63" w:rsidRPr="000D3620" w:rsidTr="00D77C63">
        <w:trPr>
          <w:cantSplit/>
        </w:trPr>
        <w:tc>
          <w:tcPr>
            <w:tcW w:w="1304" w:type="dxa"/>
          </w:tcPr>
          <w:p w:rsidR="00D77C63" w:rsidRPr="000D3620" w:rsidRDefault="00D77C63" w:rsidP="00D77C63">
            <w:pPr>
              <w:keepNext/>
            </w:pPr>
            <w:r w:rsidRPr="000D3620">
              <w:t>UI</w:t>
            </w:r>
          </w:p>
        </w:tc>
        <w:tc>
          <w:tcPr>
            <w:tcW w:w="2093" w:type="dxa"/>
          </w:tcPr>
          <w:p w:rsidR="00D77C63" w:rsidRPr="000D3620" w:rsidRDefault="00D77C63" w:rsidP="00D77C63">
            <w:pPr>
              <w:keepNext/>
            </w:pPr>
            <w:r w:rsidRPr="000D3620">
              <w:t>PresentationLayer</w:t>
            </w:r>
          </w:p>
        </w:tc>
        <w:tc>
          <w:tcPr>
            <w:tcW w:w="4554" w:type="dxa"/>
          </w:tcPr>
          <w:p w:rsidR="00D77C63" w:rsidRPr="000D3620" w:rsidRDefault="00D77C63" w:rsidP="00D77C63">
            <w:pPr>
              <w:keepNext/>
            </w:pPr>
            <w:r w:rsidRPr="000D3620">
              <w:t>Граничные и управляющие классы графического интерфейса (JavaFX): окно, контроллер, точки запуска.</w:t>
            </w:r>
          </w:p>
        </w:tc>
        <w:tc>
          <w:tcPr>
            <w:tcW w:w="1400" w:type="dxa"/>
          </w:tcPr>
          <w:p>
            <w:pPr>
              <w:keepNext/>
              <w:spacing w:before="0" w:after="0"/>
              <w:jc w:val="center"/>
            </w:pPr>
            <w:r/>
            <w:r>
              <w:rPr>
                <w:rFonts w:ascii="Times New Roman" w:hAnsi="Times New Roman" w:cs="Times New Roman"/>
                <w:sz w:val="24"/>
              </w:rPr>
              <w:t>5</w:t>
            </w:r>
          </w:p>
        </w:tc>
      </w:tr>
      <w:tr w:rsidR="00D77C63" w:rsidRPr="000D3620" w:rsidTr="00D77C63">
        <w:trPr>
          <w:cantSplit/>
        </w:trPr>
        <w:tc>
          <w:tcPr>
            <w:tcW w:w="1304" w:type="dxa"/>
          </w:tcPr>
          <w:p w:rsidR="00D77C63" w:rsidRPr="000D3620" w:rsidRDefault="00D77C63" w:rsidP="00D77C63">
            <w:pPr>
              <w:keepNext/>
            </w:pPr>
            <w:r w:rsidRPr="000D3620">
              <w:t>Parser</w:t>
            </w:r>
          </w:p>
        </w:tc>
        <w:tc>
          <w:tcPr>
            <w:tcW w:w="2093" w:type="dxa"/>
          </w:tcPr>
          <w:p w:rsidR="00D77C63" w:rsidRPr="000D3620" w:rsidRDefault="00D77C63" w:rsidP="00D77C63">
            <w:pPr>
              <w:keepNext/>
            </w:pPr>
            <w:r w:rsidRPr="000D3620">
              <w:t>BusinessLayer</w:t>
            </w:r>
          </w:p>
        </w:tc>
        <w:tc>
          <w:tcPr>
            <w:tcW w:w="4554" w:type="dxa"/>
          </w:tcPr>
          <w:p w:rsidR="00D77C63" w:rsidRPr="000D3620" w:rsidRDefault="00D77C63" w:rsidP="00D77C63">
            <w:pPr>
              <w:keepNext/>
            </w:pPr>
            <w:r w:rsidRPr="000D3620">
              <w:t>Разбор XML-файла метаданных формата E3Core и построение объектной модели.</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pPr>
              <w:keepNext/>
            </w:pPr>
            <w:r w:rsidRPr="000D3620">
              <w:t>Model</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Классы-сущности предметной области: модель метаданных и её элементы.</w:t>
            </w:r>
          </w:p>
        </w:tc>
        <w:tc>
          <w:tcPr>
            <w:tcW w:w="1400" w:type="dxa"/>
          </w:tcPr>
          <w:p>
            <w:pPr>
              <w:keepNext/>
              <w:spacing w:before="0" w:after="0"/>
              <w:jc w:val="center"/>
            </w:pPr>
            <w:r/>
            <w:r>
              <w:rPr>
                <w:rFonts w:ascii="Times New Roman" w:hAnsi="Times New Roman" w:cs="Times New Roman"/>
                <w:sz w:val="24"/>
              </w:rPr>
              <w:t>20</w:t>
            </w:r>
          </w:p>
        </w:tc>
      </w:tr>
      <w:tr w:rsidR="00CD1D5E" w:rsidRPr="000D3620" w:rsidTr="00B758FC">
        <w:trPr>
          <w:cantSplit/>
        </w:trPr>
        <w:tc>
          <w:tcPr>
            <w:tcW w:w="1304" w:type="dxa"/>
          </w:tcPr>
          <w:p w:rsidR="00CD1D5E" w:rsidRPr="000D3620" w:rsidRDefault="00CD1D5E" w:rsidP="00B758FC">
            <w:pPr>
              <w:keepNext/>
            </w:pPr>
            <w:r w:rsidRPr="000D3620">
              <w:t>Generator</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Генерация тест-проекта, объектов страниц и тест-классов, запуск прогона, отчёты.</w:t>
            </w:r>
          </w:p>
        </w:tc>
        <w:tc>
          <w:tcPr>
            <w:tcW w:w="1400" w:type="dxa"/>
          </w:tcPr>
          <w:p>
            <w:pPr>
              <w:keepNext/>
              <w:spacing w:before="0" w:after="0"/>
              <w:jc w:val="center"/>
            </w:pPr>
            <w:r/>
            <w:r>
              <w:rPr>
                <w:rFonts w:ascii="Times New Roman" w:hAnsi="Times New Roman" w:cs="Times New Roman"/>
                <w:sz w:val="24"/>
              </w:rPr>
              <w:t>7</w:t>
            </w:r>
          </w:p>
        </w:tc>
      </w:tr>
      <w:tr w:rsidR="00CD1D5E" w:rsidRPr="000D3620" w:rsidTr="00B758FC">
        <w:trPr>
          <w:cantSplit/>
        </w:trPr>
        <w:tc>
          <w:tcPr>
            <w:tcW w:w="1304" w:type="dxa"/>
          </w:tcPr>
          <w:p w:rsidR="00CD1D5E" w:rsidRPr="000D3620" w:rsidRDefault="00CD1D5E" w:rsidP="00B758FC">
            <w:pPr>
              <w:keepNext/>
            </w:pPr>
            <w:r w:rsidRPr="000D3620">
              <w:t>Data</w:t>
            </w:r>
          </w:p>
        </w:tc>
        <w:tc>
          <w:tcPr>
            <w:tcW w:w="2093" w:type="dxa"/>
          </w:tcPr>
          <w:p w:rsidR="00CD1D5E" w:rsidRPr="000D3620" w:rsidRDefault="00CD1D5E" w:rsidP="00B758FC">
            <w:pPr>
              <w:keepNext/>
            </w:pPr>
            <w:r w:rsidRPr="000D3620">
              <w:t>DataLayer</w:t>
            </w:r>
          </w:p>
        </w:tc>
        <w:tc>
          <w:tcPr>
            <w:tcW w:w="4554" w:type="dxa"/>
          </w:tcPr>
          <w:p w:rsidR="00CD1D5E" w:rsidRPr="000D3620" w:rsidRDefault="00CD1D5E" w:rsidP="00B758FC">
            <w:pPr>
              <w:keepNext/>
            </w:pPr>
            <w:r w:rsidRPr="000D3620">
              <w:t>Доступ к базе данных отчётов (SQLite): соединение, схема, DAO.</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4554" w:type="dxa"/>
          </w:tcPr>
          <w:p w:rsidR="00CD1D5E" w:rsidRPr="000D3620" w:rsidRDefault="00CD1D5E" w:rsidP="00B758FC">
            <w:r w:rsidRPr="000D3620">
              <w:t>Вспомогательные классы общего назначения (глобальный пакет).</w:t>
            </w:r>
          </w:p>
        </w:tc>
        <w:tc>
          <w:tcPr>
            <w:tcW w:w="1400" w:type="dxa"/>
          </w:tcPr>
          <w:p>
            <w:pPr>
              <w:spacing w:before="0" w:after="0"/>
              <w:jc w:val="center"/>
            </w:pPr>
            <w:r/>
            <w:r>
              <w:rPr>
                <w:rFonts w:ascii="Times New Roman" w:hAnsi="Times New Roman" w:cs="Times New Roman"/>
                <w:sz w:val="24"/>
              </w:rPr>
              <w:t>3</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05.05.2026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21.05.2026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357,5</w:t>
      </w:r>
      <m:oMath>
        <m:r>
          <m:rPr>
            <m:nor/>
          </m:rPr>
          <w:rPr>
            <w:iCs/>
            <w:color w:val="000000" w:themeColor="text1"/>
            <w:sz w:val="28"/>
            <w:szCs w:val="28"/>
          </w:rPr>
          <m:t xml:space="preserve">∙ </m:t>
        </m:r>
      </m:oMath>
      <w:r w:rsidRPr="000D3620">
        <w:rPr>
          <w:iCs/>
          <w:color w:val="000000" w:themeColor="text1"/>
          <w:sz w:val="28"/>
          <w:szCs w:val="28"/>
        </w:rPr>
        <w:t>768 = 274560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395,51</w:t>
      </w:r>
      <m:oMath>
        <m:r>
          <m:rPr>
            <m:nor/>
          </m:rPr>
          <w:rPr>
            <w:iCs/>
            <w:color w:val="000000" w:themeColor="text1"/>
            <w:sz w:val="28"/>
            <w:szCs w:val="28"/>
          </w:rPr>
          <m:t xml:space="preserve">∙ </m:t>
        </m:r>
      </m:oMath>
      <w:r w:rsidRPr="000D3620">
        <w:rPr>
          <w:iCs/>
          <w:color w:val="000000" w:themeColor="text1"/>
          <w:sz w:val="28"/>
          <w:szCs w:val="28"/>
        </w:rPr>
        <w:t>768 = 303 751,68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303751,68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274560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578311,68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D3620">
        <w:rPr>
          <w:iCs/>
          <w:color w:val="000000" w:themeColor="text1"/>
          <w:sz w:val="28"/>
          <w:szCs w:val="28"/>
        </w:rPr>
        <w:t>= 5544,96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303751,68+ </w:t>
      </w:r>
      <w:r w:rsidRPr="000D3620">
        <w:rPr>
          <w:iCs/>
          <w:color w:val="000000" w:themeColor="text1"/>
          <w:sz w:val="28"/>
          <w:szCs w:val="28"/>
        </w:rPr>
        <w:t>274560 + 5544,96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613656,64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613656,64 </w:t>
      </w:r>
      <m:oMath>
        <m:r>
          <m:rPr>
            <m:nor/>
          </m:rPr>
          <w:rPr>
            <w:color w:val="000000" w:themeColor="text1"/>
            <w:sz w:val="28"/>
            <w:szCs w:val="28"/>
          </w:rPr>
          <m:t>∙</m:t>
        </m:r>
      </m:oMath>
      <w:r w:rsidRPr="000D3620">
        <w:rPr>
          <w:iCs/>
          <w:color w:val="000000" w:themeColor="text1"/>
          <w:sz w:val="28"/>
          <w:szCs w:val="28"/>
        </w:rPr>
        <w:t xml:space="preserve"> (1 + 0,2) = 736387,97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+ 736387,97 / 2 =</w:t>
      </w:r>
      <w:r w:rsidRPr="000D3620">
        <w:rPr>
          <w:color w:val="000000" w:themeColor="text1"/>
          <w:sz w:val="28"/>
          <w:szCs w:val="28"/>
        </w:rPr>
        <w:t xml:space="preserve"> </w:t>
      </w:r>
      <w:r w:rsidRPr="000D3620">
        <w:rPr>
          <w:iCs/>
          <w:color w:val="000000" w:themeColor="text1"/>
          <w:sz w:val="28"/>
          <w:szCs w:val="28"/>
        </w:rPr>
        <w:t>375327,35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D3620">
        <w:rPr>
          <w:color w:val="000000" w:themeColor="text1"/>
          <w:sz w:val="28"/>
          <w:szCs w:val="28"/>
        </w:rPr>
        <w:t>825307,97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375327,35 = 495872,65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D3620">
        <w:rPr>
          <w:color w:val="000000" w:themeColor="text1"/>
          <w:sz w:val="28"/>
          <w:szCs w:val="28"/>
        </w:rPr>
        <w:t>1,66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D3620">
        <w:rPr>
          <w:iCs/>
          <w:color w:val="000000" w:themeColor="text1"/>
          <w:sz w:val="28"/>
          <w:szCs w:val="28"/>
        </w:rPr>
        <w:t>= 372076,46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