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120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1.5.2.1 Разработка классов пакета «UI» (образец)</w:t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Образец одного пакета для проверки оформления. Нумерация рисунков и таблиц начата с № 100 и подлежит сквозной перенумерации. После согласования будет собран весь раздел 1.5.</w:t>
      </w:r>
    </w:p>
    <w:p>
      <w:pPr>
        <w:keepNext/>
        <w:spacing w:before="240" w:after="120"/>
        <w:ind w:firstLine="0"/>
      </w:pPr>
      <w:r>
        <w:rPr>
          <w:rFonts w:ascii="Times New Roman" w:hAnsi="Times New Roman" w:eastAsia="Times New Roman"/>
          <w:b/>
          <w:i w:val="0"/>
          <w:sz w:val="26"/>
        </w:rPr>
        <w:t>1.5.2.1 Разработка классов пакета «UI»</w:t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Граничные и управляющие классы графического интерфейса (JavaFX): окно, контроллер, точки запуска. Пакет содержит 5 классов.</w:t>
      </w:r>
    </w:p>
    <w:p>
      <w:pPr>
        <w:keepNext/>
        <w:spacing w:before="240" w:after="120"/>
        <w:ind w:firstLine="0"/>
      </w:pPr>
      <w:r>
        <w:rPr>
          <w:rFonts w:ascii="Times New Roman" w:hAnsi="Times New Roman" w:eastAsia="Times New Roman"/>
          <w:b/>
          <w:i w:val="0"/>
          <w:sz w:val="26"/>
        </w:rPr>
        <w:t>1.5.2.1.1 Разработка исходной диаграммы классов пакета «UI»</w:t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Исходная диаграмма классов пакета «UI» приведена на рисунке 100. Классы соединены простыми направленными связями; виды связей и кратности уточняются далее.</w:t>
      </w:r>
    </w:p>
    <w:p>
      <w:pPr>
        <w:keepLines/>
        <w:spacing w:line="36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746446" cy="77399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s_ui_sour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6446" cy="7739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100 – Исходная диаграмма классов пакета «UI»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Перечень классов пакета «UI» приведён в таблице 100.</w:t>
      </w:r>
    </w:p>
    <w:p>
      <w:pPr>
        <w:spacing w:line="240" w:lineRule="auto" w:before="12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100 – Классы пакета «UI»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4844"/>
        <w:gridCol w:w="4844"/>
      </w:tblGrid>
      <w:tr>
        <w:trPr>
          <w:tblHeader w:val="true"/>
        </w:trPr>
        <w:tc>
          <w:tcPr>
            <w:tcW w:type="dxa" w:w="2835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Класс</w:t>
            </w:r>
          </w:p>
        </w:tc>
        <w:tc>
          <w:tcPr>
            <w:tcW w:type="dxa" w:w="6520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Назначение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App</w:t>
            </w:r>
          </w:p>
        </w:tc>
        <w:tc>
          <w:tcPr>
            <w:tcW w:type="dxa" w:w="65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JavaFX-приложение: инициализация и запуск главного окна.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Launcher</w:t>
            </w:r>
          </w:p>
        </w:tc>
        <w:tc>
          <w:tcPr>
            <w:tcW w:type="dxa" w:w="65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Точка входа приложения (обход ограничений модульности JavaFX).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MainController</w:t>
            </w:r>
          </w:p>
        </w:tc>
        <w:tc>
          <w:tcPr>
            <w:tcW w:type="dxa" w:w="65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Контроллер главного окна: связывает интерфейс с разбором, генерацией и прогоном.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MainController.EntityNode</w:t>
            </w:r>
          </w:p>
        </w:tc>
        <w:tc>
          <w:tcPr>
            <w:tcW w:type="dxa" w:w="65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Узел дерева сущностей в интерфейсе.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MainController.TestCaseRow</w:t>
            </w:r>
          </w:p>
        </w:tc>
        <w:tc>
          <w:tcPr>
            <w:tcW w:type="dxa" w:w="65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Строка таблицы результатов тестов в интерфейсе.</w:t>
            </w:r>
          </w:p>
        </w:tc>
      </w:tr>
    </w:tbl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keepNext/>
        <w:spacing w:before="240" w:after="120"/>
        <w:ind w:firstLine="0"/>
      </w:pPr>
      <w:r>
        <w:rPr>
          <w:rFonts w:ascii="Times New Roman" w:hAnsi="Times New Roman" w:eastAsia="Times New Roman"/>
          <w:b/>
          <w:i w:val="0"/>
          <w:sz w:val="26"/>
        </w:rPr>
        <w:t>1.5.2.1.2 Разработка диаграмм последовательности взаимодействия объектов классов пакета «UI»</w:t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Взаимодействие объектов классов пакета «UI» показано диаграммами последовательности для сценариев: рисунок 101 (нормальный ход), рисунок 102 (прерывание пользователем), рисунок 103 (прерывание системой). На всех трёх диаграммах присутствует один и тот же набор линий жизни; объекты, не участвующие в конкретном сценарии, остаются без сообщений. Управляющее воздействие поступает из края диаграммы (действующее лицо «Пользователь» не изображается), каждая активация завершается возвратом управления, а прерывание показано знаком «✕». Классы других пакетов помечены «Пакет::Класс».</w:t>
      </w:r>
    </w:p>
    <w:p>
      <w:pPr>
        <w:keepLines/>
        <w:spacing w:line="36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8643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ui_norm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86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101 – Диаграмма последовательности пакета «UI»: нормальный ход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keepLines/>
        <w:spacing w:line="36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9626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ui_us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962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102 – Диаграмма последовательности пакета «UI»: прерывание пользователем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keepLines/>
        <w:spacing w:line="36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46973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ui_syste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69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103 – Диаграмма последовательности пакета «UI»: прерывание системой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keepNext/>
        <w:spacing w:before="240" w:after="120"/>
        <w:ind w:firstLine="0"/>
      </w:pPr>
      <w:r>
        <w:rPr>
          <w:rFonts w:ascii="Times New Roman" w:hAnsi="Times New Roman" w:eastAsia="Times New Roman"/>
          <w:b/>
          <w:i w:val="0"/>
          <w:sz w:val="26"/>
        </w:rPr>
        <w:t>1.5.2.1.3 Разработка диаграммы кооперации пакета «UI»</w:t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Диаграмма кооперации (рисунок 104) представляет те же объекты, что и диаграммы последовательности, с нумерацией сообщений по сценариям (нормальный ход — 1, 2, …; прерывание пользователем — п1, п2, …; прерывание системой — с1, с2, …). Участвующие объекты: Launcher, App, :MainController, :EntityNode, :TestCaseRow, parser::XmlModelParser, generator::TestRunner, common::ParserException.</w:t>
      </w:r>
    </w:p>
    <w:p>
      <w:pPr>
        <w:keepLines/>
        <w:spacing w:line="36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52475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op_u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524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104 – Диаграмма кооперации пакета «UI»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keepNext/>
        <w:spacing w:before="240" w:after="120"/>
        <w:ind w:firstLine="0"/>
      </w:pPr>
      <w:r>
        <w:rPr>
          <w:rFonts w:ascii="Times New Roman" w:hAnsi="Times New Roman" w:eastAsia="Times New Roman"/>
          <w:b/>
          <w:i w:val="0"/>
          <w:sz w:val="26"/>
        </w:rPr>
        <w:t>1.5.2.1.4 Разработка уточнённой диаграммы классов пакета «UI»</w:t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Уточнённая диаграмма классов пакета «UI» (рисунок 105) фиксирует виды связей: обобщение (▷), агрегацию (◇), композицию (◆) и ассоциацию (→), а также кратности на обоих концах связей.</w:t>
      </w:r>
    </w:p>
    <w:p>
      <w:pPr>
        <w:keepLines/>
        <w:spacing w:line="36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746446" cy="773999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s_ui_refin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46446" cy="7739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105 – Уточнённая диаграмма классов пакета «UI»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keepNext/>
        <w:spacing w:before="240" w:after="120"/>
        <w:ind w:firstLine="0"/>
      </w:pPr>
      <w:r>
        <w:rPr>
          <w:rFonts w:ascii="Times New Roman" w:hAnsi="Times New Roman" w:eastAsia="Times New Roman"/>
          <w:b/>
          <w:i w:val="0"/>
          <w:sz w:val="26"/>
        </w:rPr>
        <w:t>1.5.2.1.5 Разработка детальной диаграммы классов пакета «UI»</w:t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Детальная диаграмма классов пакета «UI» (рисунок 106) содержит поля и методы каждого класса с указанием признака видимости (+ открытый, - закрытый, # защищённый, ~ пакетный); статические члены подчёркнуты. Тривиальные геттеры и сеттеры полей для наглядности не приводятся (ни на диаграмме, ни в таблицах). Состав полей и методов классов приведён в таблицах ниже.</w:t>
      </w:r>
    </w:p>
    <w:p>
      <w:pPr>
        <w:keepLines/>
        <w:spacing w:line="36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583710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s_ui_detail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837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106 – Детальная диаграмма классов пакета «UI»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Почти все методы класса MainController имеют закрытую видимость (-). Это объясняется тем, что MainController — контроллер графического интерфейса JavaFX, связанный с разметкой FXML. Обработчики событий (onParse, onGenerate, onRunTests и др.) и вспомогательные методы помечены аннотацией @FXML и вызываются загрузчиком FXMLLoader через механизм рефлексии, поэтому объявлены private. Публичным является только метод initialize() — он определён контрактом интерфейса Initializable и вызывается средой JavaFX при инициализации окна. Таким образом, класс не предоставляет открытого программного интерфейса, кроме инициализации, что является нормой для FXML-контроллеров.</w:t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Методы класса App приведены в таблице 101.</w:t>
      </w:r>
    </w:p>
    <w:p>
      <w:pPr>
        <w:spacing w:line="240" w:lineRule="auto" w:before="12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101 – Методы класса App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204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Название метода</w:t>
            </w:r>
          </w:p>
        </w:tc>
        <w:tc>
          <w:tcPr>
            <w:tcW w:type="dxa" w:w="2494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Параметры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Возвращаемое значение</w:t>
            </w:r>
          </w:p>
        </w:tc>
        <w:tc>
          <w:tcPr>
            <w:tcW w:type="dxa" w:w="3118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start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primaryStage: Stage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void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Запускает главное окно JavaFX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main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args: String[]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void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Точка входа приложения</w:t>
            </w:r>
          </w:p>
        </w:tc>
      </w:tr>
    </w:tbl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Методы класса Launcher приведены в таблице 102.</w:t>
      </w:r>
    </w:p>
    <w:p>
      <w:pPr>
        <w:spacing w:line="240" w:lineRule="auto" w:before="12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102 – Методы класса Launcher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204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Название метода</w:t>
            </w:r>
          </w:p>
        </w:tc>
        <w:tc>
          <w:tcPr>
            <w:tcW w:type="dxa" w:w="2494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Параметры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Возвращаемое значение</w:t>
            </w:r>
          </w:p>
        </w:tc>
        <w:tc>
          <w:tcPr>
            <w:tcW w:type="dxa" w:w="3118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main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args: String[]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void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Точка входа без модульного запуска JavaFX</w:t>
            </w:r>
          </w:p>
        </w:tc>
      </w:tr>
    </w:tbl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Поля класса MainController приведены в таблице 103.</w:t>
      </w:r>
    </w:p>
    <w:p>
      <w:pPr>
        <w:spacing w:line="240" w:lineRule="auto" w:before="12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103 – Поля класса MainController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2154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Название</w:t>
            </w:r>
          </w:p>
        </w:tc>
        <w:tc>
          <w:tcPr>
            <w:tcW w:type="dxa" w:w="238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Тип</w:t>
            </w:r>
          </w:p>
        </w:tc>
        <w:tc>
          <w:tcPr>
            <w:tcW w:type="dxa" w:w="4819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xmlPathField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TextField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Поле пути к файлу метаданных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urlField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TextField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Поле адреса тестируемого сайта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loginField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TextField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Поле логина пользователя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passwordField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PasswordField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Поле пароля пользователя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outputDirField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TextField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Поле каталога генерации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fastModeCheck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CheckBox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Флажок быстрого режима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siteTypeCombo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ComboBox&lt;String&gt;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Список выбора типа сайта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subsystemField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TextField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Поле имени подсистемы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btnSelectXml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Button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Кнопка выбора файла модели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btnSelectOutputDir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Button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Кнопка выбора каталога генерации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btnParse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Button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Кнопка разбора метаданных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btnGenerate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Button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Кнопка генерации автотестов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btnRunTests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Button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Кнопка запуска всех тестов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btnRunSelected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Button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Кнопка запуска выбранных тестов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btnShowHistory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Button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Кнопка показа истории прогонов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TEST_CATEGORIES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String[][]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Категории видов тестов: {подпись, шаблон имени метода для Surefire}. Одна строка на тестовый метод.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entityTreeView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TreeView&lt;EntityNode&gt;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Дерево сущностей модели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resultsTable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TableView&lt;TestCaseRow&gt;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Таблица результатов тестов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colClass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TableColumn&lt;TestCaseRow, String&gt;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Столбец имени класса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colMethod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TableColumn&lt;TestCaseRow, String&gt;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Столбец имени метода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colStatus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TableColumn&lt;TestCaseRow, String&gt;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Столбец статуса теста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colDuration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TableColumn&lt;TestCaseRow, String&gt;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Столбец длительности теста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colMessage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TableColumn&lt;TestCaseRow, String&gt;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Столбец сообщения теста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statusLabel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Label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Надпись статуса операции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progressBar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ProgressBar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Индикатор хода выполнения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logArea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TextArea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Область журнала сообщений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totalLabel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Label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Надпись общего числа тестов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passedLabel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Label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Надпись числа успешных тестов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failedLabel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Label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Надпись числа проваленных тестов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currentModel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model::AppModel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Текущая модель метаданных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reportDao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data::ReportDao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Объект доступа к базе отчётов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STYLE_GROUP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Стиль узла группы свойств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STYLE_PRIMARY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Стиль основной сущности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STYLE_CHILD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Стиль дочерней сущности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STYLE_SKIP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Стиль пропускаемого узла</w:t>
            </w:r>
          </w:p>
        </w:tc>
      </w:tr>
    </w:tbl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Методы класса MainController приведены в таблице 104.</w:t>
      </w:r>
    </w:p>
    <w:p>
      <w:pPr>
        <w:spacing w:line="240" w:lineRule="auto" w:before="12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104 – Методы класса MainController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204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Название метода</w:t>
            </w:r>
          </w:p>
        </w:tc>
        <w:tc>
          <w:tcPr>
            <w:tcW w:type="dxa" w:w="2494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Параметры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Возвращаемое значение</w:t>
            </w:r>
          </w:p>
        </w:tc>
        <w:tc>
          <w:tcPr>
            <w:tcW w:type="dxa" w:w="3118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initialize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void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Инициализирует контроллер и элементы окна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onSelectXml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void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Обрабатывает выбор файла модели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onSelectOutputDir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void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Обрабатывает выбор каталога генерации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onParse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void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Обрабатывает разбор метаданных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buildEntityTree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void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Строит дерево сущностей модели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label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entity: model::EntityObject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Формирует подпись узла дерева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onGenerate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void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Обрабатывает генерацию автотестов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onRunTests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void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Обрабатывает запуск всех тестов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onRunSelected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void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Обрабатывает запуск выбранных тестов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buildTestFilter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entityChecks: List&lt;CheckBox&gt;, typeChecks: List&lt;CheckBox&gt;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Формирует фильтр выбранных тестов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launchRun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testFilter: String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void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Запускает прогон тестов в фоне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onShowHistory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void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Обрабатывает показ истории прогонов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displayResults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result: model::TestRunResult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void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Отображает результаты прогона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getXmlFileName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Возвращает имя файла модели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log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message: String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void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Выводит сообщение в журнал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showAlert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title: String, content: String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void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Показывает диалоговое сообщение</w:t>
            </w:r>
          </w:p>
        </w:tc>
      </w:tr>
    </w:tbl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Поля класса MainController.EntityNode приведены в таблице 105.</w:t>
      </w:r>
    </w:p>
    <w:p>
      <w:pPr>
        <w:spacing w:line="240" w:lineRule="auto" w:before="12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105 – Поля класса MainController.EntityNode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2154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Название</w:t>
            </w:r>
          </w:p>
        </w:tc>
        <w:tc>
          <w:tcPr>
            <w:tcW w:type="dxa" w:w="238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Тип</w:t>
            </w:r>
          </w:p>
        </w:tc>
        <w:tc>
          <w:tcPr>
            <w:tcW w:type="dxa" w:w="4819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text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Текст узла дерева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style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Стиль оформления узла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tooltip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Всплывающая подсказка узла</w:t>
            </w:r>
          </w:p>
        </w:tc>
      </w:tr>
    </w:tbl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Методы класса MainController.EntityNode приведены в таблице 106.</w:t>
      </w:r>
    </w:p>
    <w:p>
      <w:pPr>
        <w:spacing w:line="240" w:lineRule="auto" w:before="12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106 – Методы класса MainController.EntityNode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204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Название метода</w:t>
            </w:r>
          </w:p>
        </w:tc>
        <w:tc>
          <w:tcPr>
            <w:tcW w:type="dxa" w:w="2494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Параметры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Возвращаемое значение</w:t>
            </w:r>
          </w:p>
        </w:tc>
        <w:tc>
          <w:tcPr>
            <w:tcW w:type="dxa" w:w="3118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EntityNode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text: String, style: String, tooltip: String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Создаёт узел дерева сущностей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toString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Строковое представление объекта</w:t>
            </w:r>
          </w:p>
        </w:tc>
      </w:tr>
    </w:tbl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Поля класса MainController.TestCaseRow приведены в таблице 107.</w:t>
      </w:r>
    </w:p>
    <w:p>
      <w:pPr>
        <w:spacing w:line="240" w:lineRule="auto" w:before="12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107 – Поля класса MainController.TestCaseRow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2154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Название</w:t>
            </w:r>
          </w:p>
        </w:tc>
        <w:tc>
          <w:tcPr>
            <w:tcW w:type="dxa" w:w="238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Тип</w:t>
            </w:r>
          </w:p>
        </w:tc>
        <w:tc>
          <w:tcPr>
            <w:tcW w:type="dxa" w:w="4819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className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Имя тестового класса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methodName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Имя тестового метода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status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Статус выполнения теста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duration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Длительность теста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message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Сообщение о результате</w:t>
            </w:r>
          </w:p>
        </w:tc>
      </w:tr>
    </w:tbl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Методы класса MainController.TestCaseRow приведены в таблице 108.</w:t>
      </w:r>
    </w:p>
    <w:p>
      <w:pPr>
        <w:spacing w:line="240" w:lineRule="auto" w:before="12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108 – Методы класса MainController.TestCaseRow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204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Название метода</w:t>
            </w:r>
          </w:p>
        </w:tc>
        <w:tc>
          <w:tcPr>
            <w:tcW w:type="dxa" w:w="2494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Параметры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Возвращаемое значение</w:t>
            </w:r>
          </w:p>
        </w:tc>
        <w:tc>
          <w:tcPr>
            <w:tcW w:type="dxa" w:w="3118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TestCaseRow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className: String, methodName: String, status: String, duration: String, message: String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Создаёт строку результата теста</w:t>
            </w:r>
          </w:p>
        </w:tc>
      </w:tr>
    </w:tbl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