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d421e88ecbd7bf8d4102d83cf4aaa643022948"/>
    <w:p>
      <w:pPr>
        <w:pStyle w:val="Heading1"/>
      </w:pPr>
      <w:r>
        <w:t xml:space="preserve">Аудит ВКР: выравнивание, литература, текст программы</w:t>
      </w:r>
    </w:p>
    <w:p>
      <w:pPr>
        <w:pStyle w:val="FirstParagraph"/>
      </w:pPr>
      <w:r>
        <w:t xml:space="preserve">Файл проанализирован:</w:t>
      </w:r>
      <w:r>
        <w:t xml:space="preserve"> </w:t>
      </w:r>
      <w:r>
        <w:rPr>
          <w:rStyle w:val="VerbatimChar"/>
        </w:rPr>
        <w:t xml:space="preserve">Столбов_Диплом_v4.docx</w:t>
      </w:r>
      <w:r>
        <w:t xml:space="preserve"> </w:t>
      </w:r>
      <w:r>
        <w:t xml:space="preserve">(5052 параграфа, 1892 вне таблиц).</w:t>
      </w:r>
    </w:p>
    <w:p>
      <w:r>
        <w:pict>
          <v:rect style="width:0;height:1.5pt" o:hralign="center" o:hrstd="t" o:hr="t"/>
        </w:pict>
      </w:r>
    </w:p>
    <w:bookmarkStart w:id="23" w:name="выравнивание-что-не-по-ширине"/>
    <w:p>
      <w:pPr>
        <w:pStyle w:val="Heading2"/>
      </w:pPr>
      <w:r>
        <w:t xml:space="preserve">1. Выравнивание — что не «по ширине»</w:t>
      </w:r>
    </w:p>
    <w:bookmarkStart w:id="20" w:name="Xee00f4c8737e61fec7e40f8928baaa766185b60"/>
    <w:p>
      <w:pPr>
        <w:pStyle w:val="Heading3"/>
      </w:pPr>
      <w:r>
        <w:t xml:space="preserve">1.1. Багов с явным</w:t>
      </w:r>
      <w:r>
        <w:t xml:space="preserve"> </w:t>
      </w:r>
      <w:r>
        <w:rPr>
          <w:rStyle w:val="VerbatimChar"/>
        </w:rPr>
        <w:t xml:space="preserve">left</w:t>
      </w:r>
      <w:r>
        <w:t xml:space="preserve">/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в основном тексте — нет</w:t>
      </w:r>
    </w:p>
    <w:p>
      <w:pPr>
        <w:pStyle w:val="FirstParagraph"/>
      </w:pPr>
      <w:r>
        <w:t xml:space="preserve">Проверка вне таблиц: ни один длинный абзац основного текста не имеет явного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(кроме двух пунктов титульника «Руководитель: …» / «Исполнитель: …», что корректно).</w:t>
      </w:r>
    </w:p>
    <w:bookmarkEnd w:id="20"/>
    <w:bookmarkStart w:id="21" w:name="X280275238b8be84e550b9cc805f1ea44afa0c79"/>
    <w:p>
      <w:pPr>
        <w:pStyle w:val="Heading3"/>
      </w:pPr>
      <w:r>
        <w:t xml:space="preserve">1.2. Реальные баги — параграфы с</w:t>
      </w:r>
      <w:r>
        <w:t xml:space="preserve"> </w:t>
      </w:r>
      <w:r>
        <w:rPr>
          <w:bCs/>
          <w:b/>
        </w:rPr>
        <w:t xml:space="preserve">унаследованным</w:t>
      </w:r>
      <w:r>
        <w:t xml:space="preserve"> </w:t>
      </w:r>
      <w:r>
        <w:t xml:space="preserve">выравниванием (фактически</w:t>
      </w:r>
      <w:r>
        <w:t xml:space="preserve"> </w:t>
      </w:r>
      <w:r>
        <w:rPr>
          <w:rStyle w:val="VerbatimChar"/>
        </w:rPr>
        <w:t xml:space="preserve">left</w:t>
      </w:r>
      <w:r>
        <w:t xml:space="preserve">)</w:t>
      </w:r>
    </w:p>
    <w:p>
      <w:pPr>
        <w:pStyle w:val="FirstParagraph"/>
      </w:pPr>
      <w:r>
        <w:t xml:space="preserve">Это 157 абзацев со стилем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 у которых выравнивание не задано явно, и по</w:t>
      </w:r>
      <w:r>
        <w:t xml:space="preserve"> </w:t>
      </w:r>
      <w:r>
        <w:rPr>
          <w:rStyle w:val="VerbatimChar"/>
        </w:rPr>
        <w:t xml:space="preserve">docDefaults</w:t>
      </w:r>
      <w:r>
        <w:t xml:space="preserve"> </w:t>
      </w:r>
      <w:r>
        <w:t xml:space="preserve">они получают левое. Из них действительно нужно «по ширине» выправить вот эти (всё, что не заголовок раздела и не код):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Параграф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 рис. 32 изображена диаграмма кооперации пакета</w:t>
            </w:r>
            <w:r>
              <w:t xml:space="preserve"> </w:t>
            </w:r>
            <w:r>
              <w:t xml:space="preserve">“</w:t>
            </w:r>
            <w:r>
              <w:t xml:space="preserve">Model</w:t>
            </w:r>
            <w:r>
              <w:t xml:space="preserve">”</w:t>
            </w:r>
            <w:r>
              <w:t xml:space="preserve">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 рис. 33 изображена уточнённая диаграмма классов пакета</w:t>
            </w:r>
            <w:r>
              <w:t xml:space="preserve"> </w:t>
            </w:r>
            <w:r>
              <w:t xml:space="preserve">“</w:t>
            </w:r>
            <w:r>
              <w:t xml:space="preserve">Model</w:t>
            </w:r>
            <w:r>
              <w:t xml:space="preserve">”</w:t>
            </w:r>
            <w:r>
              <w:t xml:space="preserve">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(аналогичные «На рис. 39/40/46/47/53/54 изображена…»)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шт. подряд по тому же шаблону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параграф перед «1.7 Выбор стратегии…»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 данном разделе представлены стратегия, программа и методика испытаний…»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Как починить руками в Word:</w:t>
      </w:r>
      <w:r>
        <w:t xml:space="preserve"> </w:t>
      </w:r>
      <w:r>
        <w:t xml:space="preserve">выделить —</w:t>
      </w:r>
      <w:r>
        <w:t xml:space="preserve"> </w:t>
      </w:r>
      <w:r>
        <w:rPr>
          <w:rStyle w:val="VerbatimChar"/>
        </w:rPr>
        <w:t xml:space="preserve">Ctrl+J</w:t>
      </w:r>
      <w:r>
        <w:t xml:space="preserve"> </w:t>
      </w:r>
      <w:r>
        <w:t xml:space="preserve">(justify). Либо открыть стиль</w:t>
      </w:r>
      <w:r>
        <w:t xml:space="preserve"> </w:t>
      </w:r>
      <w:r>
        <w:rPr>
          <w:rStyle w:val="VerbatimChar"/>
        </w:rPr>
        <w:t xml:space="preserve">Обычный</w:t>
      </w:r>
      <w:r>
        <w:t xml:space="preserve"> </w:t>
      </w:r>
      <w:r>
        <w:t xml:space="preserve">(Normal) → выравнивание «По ширине» — тогда все унаследованные сразу станут правильно.</w:t>
      </w:r>
    </w:p>
    <w:bookmarkEnd w:id="21"/>
    <w:bookmarkStart w:id="22" w:name="где-leftinherit-оставить-как-есть"/>
    <w:p>
      <w:pPr>
        <w:pStyle w:val="Heading3"/>
      </w:pPr>
      <w:r>
        <w:t xml:space="preserve">1.3. Где</w:t>
      </w:r>
      <w:r>
        <w:t xml:space="preserve"> </w:t>
      </w:r>
      <w:r>
        <w:rPr>
          <w:rStyle w:val="VerbatimChar"/>
        </w:rPr>
        <w:t xml:space="preserve">left/inherit</w:t>
      </w:r>
      <w:r>
        <w:t xml:space="preserve"> </w:t>
      </w:r>
      <w:r>
        <w:t xml:space="preserve">оставить как есть</w:t>
      </w:r>
    </w:p>
    <w:p>
      <w:pPr>
        <w:numPr>
          <w:ilvl w:val="0"/>
          <w:numId w:val="1001"/>
        </w:numPr>
        <w:pStyle w:val="Compact"/>
      </w:pPr>
      <w:r>
        <w:t xml:space="preserve">Титульник, форма задания, поля «Срок сдачи студентом…», «Дата выдачи задания», «Руководитель ВКР:» — это бланки, не основной текст.</w:t>
      </w:r>
    </w:p>
    <w:p>
      <w:pPr>
        <w:numPr>
          <w:ilvl w:val="0"/>
          <w:numId w:val="1001"/>
        </w:numPr>
        <w:pStyle w:val="Compact"/>
      </w:pPr>
      <w:r>
        <w:t xml:space="preserve">Заголовки разделов (</w:t>
      </w:r>
      <w:r>
        <w:rPr>
          <w:rStyle w:val="VerbatimChar"/>
        </w:rPr>
        <w:t xml:space="preserve">1.5.3</w:t>
      </w:r>
      <w:r>
        <w:t xml:space="preserve">,</w:t>
      </w:r>
      <w:r>
        <w:t xml:space="preserve"> </w:t>
      </w:r>
      <w:r>
        <w:rPr>
          <w:rStyle w:val="VerbatimChar"/>
        </w:rPr>
        <w:t xml:space="preserve">1.7</w:t>
      </w:r>
      <w:r>
        <w:t xml:space="preserve">,</w:t>
      </w:r>
      <w:r>
        <w:t xml:space="preserve"> </w:t>
      </w:r>
      <w:r>
        <w:rPr>
          <w:rStyle w:val="VerbatimChar"/>
        </w:rPr>
        <w:t xml:space="preserve">3.1</w:t>
      </w:r>
      <w:r>
        <w:t xml:space="preserve">…) — заголовки.</w:t>
      </w:r>
    </w:p>
    <w:p>
      <w:pPr>
        <w:numPr>
          <w:ilvl w:val="0"/>
          <w:numId w:val="1001"/>
        </w:numPr>
        <w:pStyle w:val="Compact"/>
      </w:pPr>
      <w:r>
        <w:t xml:space="preserve">Листинги кода в Приложении 2 (</w:t>
      </w:r>
      <w:r>
        <w:rPr>
          <w:rStyle w:val="VerbatimChar"/>
        </w:rPr>
        <w:t xml:space="preserve">package Parsing;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 class …</w:t>
      </w:r>
      <w:r>
        <w:t xml:space="preserve">) — код</w:t>
      </w:r>
      <w:r>
        <w:t xml:space="preserve"> </w:t>
      </w:r>
      <w:r>
        <w:rPr>
          <w:bCs/>
          <w:b/>
        </w:rPr>
        <w:t xml:space="preserve">не должен</w:t>
      </w:r>
      <w:r>
        <w:t xml:space="preserve"> </w:t>
      </w:r>
      <w:r>
        <w:t xml:space="preserve">выравниваться по ширине, иначе появятся уродские пробелы между токенами.</w:t>
      </w:r>
    </w:p>
    <w:p>
      <w:pPr>
        <w:numPr>
          <w:ilvl w:val="0"/>
          <w:numId w:val="1001"/>
        </w:numPr>
        <w:pStyle w:val="Compact"/>
      </w:pPr>
      <w:r>
        <w:t xml:space="preserve">Подписи рисунков (</w:t>
      </w:r>
      <w:r>
        <w:rPr>
          <w:rStyle w:val="VerbatimChar"/>
        </w:rPr>
        <w:t xml:space="preserve">Рис. NN. …</w:t>
      </w:r>
      <w:r>
        <w:t xml:space="preserve">) — центр, это правильно.</w:t>
      </w:r>
    </w:p>
    <w:p>
      <w:pPr>
        <w:numPr>
          <w:ilvl w:val="0"/>
          <w:numId w:val="1001"/>
        </w:numPr>
        <w:pStyle w:val="Compact"/>
      </w:pPr>
      <w:r>
        <w:t xml:space="preserve">Заголовки таблиц (</w:t>
      </w:r>
      <w:r>
        <w:rPr>
          <w:rStyle w:val="VerbatimChar"/>
        </w:rPr>
        <w:t xml:space="preserve">Таблица NN</w:t>
      </w:r>
      <w:r>
        <w:t xml:space="preserve">) — справа, это правильно.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литература-ошибки-расстановки-n"/>
    <w:p>
      <w:pPr>
        <w:pStyle w:val="Heading2"/>
      </w:pPr>
      <w:r>
        <w:t xml:space="preserve">2. Литература — ошибки расстановки</w:t>
      </w:r>
      <w:r>
        <w:t xml:space="preserve"> </w:t>
      </w:r>
      <w:r>
        <w:rPr>
          <w:rStyle w:val="VerbatimChar"/>
        </w:rPr>
        <w:t xml:space="preserve">[N]</w:t>
      </w:r>
    </w:p>
    <w:p>
      <w:pPr>
        <w:pStyle w:val="FirstParagraph"/>
      </w:pPr>
      <w:r>
        <w:t xml:space="preserve">Всего 26 ссылок. Найдено 3 явных бага.</w:t>
      </w:r>
    </w:p>
    <w:bookmarkStart w:id="24" w:name="X8e3a93e58b0eb51859f9e8c84d9934cf66f779c"/>
    <w:p>
      <w:pPr>
        <w:pStyle w:val="Heading3"/>
      </w:pPr>
      <w:r>
        <w:t xml:space="preserve">2.1. Ссылка в Техническом задании (Приложение 1)</w:t>
      </w:r>
    </w:p>
    <w:p>
      <w:pPr>
        <w:pStyle w:val="FirstParagraph"/>
      </w:pPr>
      <w:r>
        <w:rPr>
          <w:bCs/>
          <w:b/>
        </w:rPr>
        <w:t xml:space="preserve">Параграф 4400</w:t>
      </w:r>
      <w:r>
        <w:t xml:space="preserve"> </w:t>
      </w:r>
      <w:r>
        <w:t xml:space="preserve">(внутри</w:t>
      </w:r>
      <w:r>
        <w:t xml:space="preserve"> </w:t>
      </w:r>
      <w:r>
        <w:rPr>
          <w:rStyle w:val="VerbatimChar"/>
        </w:rPr>
        <w:t xml:space="preserve">ПРИЛОЖЕНИЕ 1 — Техническое задание</w:t>
      </w:r>
      <w:r>
        <w:t xml:space="preserve">):</w:t>
      </w:r>
      <w:r>
        <w:t xml:space="preserve"> </w:t>
      </w:r>
      <w:r>
        <w:t xml:space="preserve">&gt; «…разбор XML-метамодели формата E3Core с использованием потокового парсера StAX</w:t>
      </w:r>
      <w:r>
        <w:t xml:space="preserve"> </w:t>
      </w:r>
      <w:r>
        <w:rPr>
          <w:bCs/>
          <w:b/>
        </w:rPr>
        <w:t xml:space="preserve">[20]</w:t>
      </w:r>
      <w:r>
        <w:t xml:space="preserve"> </w:t>
      </w:r>
      <w:r>
        <w:t xml:space="preserve">и поддержкой трёх XML-неймспейсов…»</w:t>
      </w:r>
    </w:p>
    <w:p>
      <w:pPr>
        <w:pStyle w:val="BodyText"/>
      </w:pPr>
      <w:r>
        <w:rPr>
          <w:bCs/>
          <w:b/>
        </w:rPr>
        <w:t xml:space="preserve">Действие:</w:t>
      </w:r>
      <w:r>
        <w:t xml:space="preserve"> </w:t>
      </w:r>
      <w:r>
        <w:t xml:space="preserve">удалить</w:t>
      </w:r>
      <w:r>
        <w:t xml:space="preserve"> </w:t>
      </w:r>
      <w:r>
        <w:rPr>
          <w:rStyle w:val="VerbatimChar"/>
        </w:rPr>
        <w:t xml:space="preserve">[20]</w:t>
      </w:r>
      <w:r>
        <w:t xml:space="preserve">. В ТЗ ссылок на литературу быть не должно.</w:t>
      </w:r>
    </w:p>
    <w:bookmarkEnd w:id="24"/>
    <w:bookmarkStart w:id="25" w:name="ссылка-внутри-самого-списка-литературы"/>
    <w:p>
      <w:pPr>
        <w:pStyle w:val="Heading3"/>
      </w:pPr>
      <w:r>
        <w:t xml:space="preserve">2.2. Ссылка внутри самого списка литературы</w:t>
      </w:r>
    </w:p>
    <w:p>
      <w:pPr>
        <w:pStyle w:val="FirstParagraph"/>
      </w:pPr>
      <w:r>
        <w:rPr>
          <w:bCs/>
          <w:b/>
        </w:rPr>
        <w:t xml:space="preserve">Параграф 4313</w:t>
      </w:r>
      <w:r>
        <w:t xml:space="preserve">, запись №2 в списке литературы:</w:t>
      </w:r>
      <w:r>
        <w:t xml:space="preserve"> </w:t>
      </w:r>
      <w:r>
        <w:t xml:space="preserve">&gt; «Буч Г., Рамбо Д., Якобсон И. Язык UML. Руководство пользователя. 2-е изд.: Пер. с англ. — М.: ДМК Пресс, 2006. — 496 с.</w:t>
      </w:r>
      <w:r>
        <w:t xml:space="preserve"> </w:t>
      </w:r>
      <w:r>
        <w:rPr>
          <w:bCs/>
          <w:b/>
        </w:rPr>
        <w:t xml:space="preserve">[27]</w:t>
      </w:r>
      <w:r>
        <w:t xml:space="preserve">»</w:t>
      </w:r>
    </w:p>
    <w:p>
      <w:pPr>
        <w:pStyle w:val="BodyText"/>
      </w:pPr>
      <w:r>
        <w:rPr>
          <w:bCs/>
          <w:b/>
        </w:rPr>
        <w:t xml:space="preserve">Действие:</w:t>
      </w:r>
      <w:r>
        <w:t xml:space="preserve"> </w:t>
      </w:r>
      <w:r>
        <w:t xml:space="preserve">удалить</w:t>
      </w:r>
      <w:r>
        <w:t xml:space="preserve"> </w:t>
      </w:r>
      <w:r>
        <w:rPr>
          <w:rStyle w:val="VerbatimChar"/>
        </w:rPr>
        <w:t xml:space="preserve">[27]</w:t>
      </w:r>
      <w:r>
        <w:t xml:space="preserve"> </w:t>
      </w:r>
      <w:r>
        <w:t xml:space="preserve">— это запись №2 в списке, не должна сама себя цитировать. Похоже на случайно оставленный маркер сноски.</w:t>
      </w:r>
    </w:p>
    <w:bookmarkEnd w:id="25"/>
    <w:bookmarkStart w:id="26" w:name="возможно-избыточное-цитирование-7"/>
    <w:p>
      <w:pPr>
        <w:pStyle w:val="Heading3"/>
      </w:pPr>
      <w:r>
        <w:t xml:space="preserve">2.3. Возможно избыточное цитирование</w:t>
      </w:r>
      <w:r>
        <w:t xml:space="preserve"> </w:t>
      </w:r>
      <w:r>
        <w:rPr>
          <w:rStyle w:val="VerbatimChar"/>
        </w:rPr>
        <w:t xml:space="preserve">[7]</w:t>
      </w:r>
    </w:p>
    <w:p>
      <w:pPr>
        <w:pStyle w:val="FirstParagraph"/>
      </w:pPr>
      <w:r>
        <w:t xml:space="preserve">Ссылка</w:t>
      </w:r>
      <w:r>
        <w:t xml:space="preserve"> </w:t>
      </w:r>
      <w:r>
        <w:rPr>
          <w:rStyle w:val="VerbatimChar"/>
        </w:rPr>
        <w:t xml:space="preserve">[7]</w:t>
      </w:r>
      <w:r>
        <w:t xml:space="preserve"> </w:t>
      </w:r>
      <w:r>
        <w:t xml:space="preserve">стоит</w:t>
      </w:r>
      <w:r>
        <w:t xml:space="preserve"> </w:t>
      </w:r>
      <w:r>
        <w:rPr>
          <w:bCs/>
          <w:b/>
        </w:rPr>
        <w:t xml:space="preserve">трижды подряд</w:t>
      </w:r>
      <w:r>
        <w:t xml:space="preserve"> </w:t>
      </w:r>
      <w:r>
        <w:t xml:space="preserve">в близких абзацах раздела 1.4 / 1.5 (параграфы 784, 1441, 1477). Если это всё один и тот же источник по UML, достаточно одной ссылки при первом упоминании в разделе. Перепроверь — может быть, два из трёх лишние.</w:t>
      </w:r>
    </w:p>
    <w:bookmarkEnd w:id="26"/>
    <w:bookmarkStart w:id="27" w:name="что-в-порядке"/>
    <w:p>
      <w:pPr>
        <w:pStyle w:val="Heading3"/>
      </w:pPr>
      <w:r>
        <w:t xml:space="preserve">2.4. Что в порядке</w:t>
      </w:r>
    </w:p>
    <w:p>
      <w:pPr>
        <w:numPr>
          <w:ilvl w:val="0"/>
          <w:numId w:val="1002"/>
        </w:numPr>
        <w:pStyle w:val="Compact"/>
      </w:pPr>
      <w:r>
        <w:t xml:space="preserve">Введение (параграфы 436–438) —</w:t>
      </w:r>
      <w:r>
        <w:t xml:space="preserve"> </w:t>
      </w:r>
      <w:r>
        <w:rPr>
          <w:rStyle w:val="VerbatimChar"/>
        </w:rPr>
        <w:t xml:space="preserve">[10]</w:t>
      </w:r>
      <w:r>
        <w:t xml:space="preserve">,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— допустимо: это первое упоминание аналогов и постановка задачи.</w:t>
      </w:r>
    </w:p>
    <w:p>
      <w:pPr>
        <w:numPr>
          <w:ilvl w:val="0"/>
          <w:numId w:val="1002"/>
        </w:numPr>
        <w:pStyle w:val="Compact"/>
      </w:pPr>
      <w:r>
        <w:t xml:space="preserve">Заключение (параграфы 4293–4310) —</w:t>
      </w:r>
      <w:r>
        <w:t xml:space="preserve"> </w:t>
      </w:r>
      <w:r>
        <w:rPr>
          <w:bCs/>
          <w:b/>
        </w:rPr>
        <w:t xml:space="preserve">ссылок нет</w:t>
      </w:r>
      <w:r>
        <w:t xml:space="preserve">. Правильно.</w:t>
      </w:r>
    </w:p>
    <w:p>
      <w:pPr>
        <w:numPr>
          <w:ilvl w:val="0"/>
          <w:numId w:val="1002"/>
        </w:numPr>
        <w:pStyle w:val="Compact"/>
      </w:pPr>
      <w:r>
        <w:t xml:space="preserve">Заголовки разделов —</w:t>
      </w:r>
      <w:r>
        <w:t xml:space="preserve"> </w:t>
      </w:r>
      <w:r>
        <w:rPr>
          <w:bCs/>
          <w:b/>
        </w:rPr>
        <w:t xml:space="preserve">ссылок нет</w:t>
      </w:r>
      <w:r>
        <w:t xml:space="preserve">. Правильно.</w:t>
      </w:r>
    </w:p>
    <w:p>
      <w:pPr>
        <w:numPr>
          <w:ilvl w:val="0"/>
          <w:numId w:val="1002"/>
        </w:numPr>
        <w:pStyle w:val="Compact"/>
      </w:pPr>
      <w:r>
        <w:t xml:space="preserve">В разделах 1.1, 1.2, 1.3, 1.4, 1.5, 1.7 ссылки стоят рядом с заимствованными определениями/тезисами (Selenium, JavaFX, Maven, StAX, ГОСТ 19.301-79, метод граничных значений) — это корректное использование.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047d5541de962ab54980b2706a2ae8cd507a3f1"/>
    <w:p>
      <w:pPr>
        <w:pStyle w:val="Heading2"/>
      </w:pPr>
      <w:r>
        <w:t xml:space="preserve">3. Раздел «Текст программы» — готовые листинги для вставки</w:t>
      </w:r>
    </w:p>
    <w:p>
      <w:pPr>
        <w:pStyle w:val="FirstParagraph"/>
      </w:pPr>
      <w:r>
        <w:t xml:space="preserve">Существующее</w:t>
      </w:r>
      <w:r>
        <w:t xml:space="preserve"> </w:t>
      </w:r>
      <w:r>
        <w:rPr>
          <w:rStyle w:val="VerbatimChar"/>
        </w:rPr>
        <w:t xml:space="preserve">ПРИЛОЖЕНИЕ 2 — Текст программы</w:t>
      </w:r>
      <w:r>
        <w:t xml:space="preserve"> </w:t>
      </w:r>
      <w:r>
        <w:t xml:space="preserve">содержит</w:t>
      </w:r>
      <w:r>
        <w:t xml:space="preserve"> </w:t>
      </w:r>
      <w:r>
        <w:rPr>
          <w:bCs/>
          <w:b/>
        </w:rPr>
        <w:t xml:space="preserve">устаревшие</w:t>
      </w:r>
      <w:r>
        <w:t xml:space="preserve"> </w:t>
      </w:r>
      <w:r>
        <w:t xml:space="preserve">классы из старой архитектуры (</w:t>
      </w:r>
      <w:r>
        <w:rPr>
          <w:rStyle w:val="VerbatimChar"/>
        </w:rPr>
        <w:t xml:space="preserve">ParseException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MetadataModelDTO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EntityDTO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PropertyDTO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OperationParamDTO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OperationModifiersDTO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Parsing</w:t>
      </w:r>
      <w:r>
        <w:t xml:space="preserve">). Эти классы в текущей кодовой базе ветки</w:t>
      </w:r>
      <w:r>
        <w:t xml:space="preserve"> </w:t>
      </w:r>
      <w:r>
        <w:rPr>
          <w:rStyle w:val="VerbatimChar"/>
        </w:rPr>
        <w:t xml:space="preserve">claude/gallant-hopper-gvi512</w:t>
      </w:r>
      <w:r>
        <w:t xml:space="preserve"> </w:t>
      </w:r>
      <w:r>
        <w:rPr>
          <w:bCs/>
          <w:b/>
        </w:rPr>
        <w:t xml:space="preserve">отсутствуют</w:t>
      </w:r>
      <w:r>
        <w:t xml:space="preserve">. Их нужно заменить на актуальные.</w:t>
      </w:r>
    </w:p>
    <w:p>
      <w:pPr>
        <w:pStyle w:val="BodyText"/>
      </w:pPr>
      <w:r>
        <w:t xml:space="preserve">Ниже — четыре основных класса из текущей реализации, ~10 страниц при моноширинном 10 pt. Формат подписей — как у тебя в существующем Приложении 2 (</w:t>
      </w:r>
      <w:r>
        <w:rPr>
          <w:rStyle w:val="VerbatimChar"/>
        </w:rPr>
        <w:t xml:space="preserve">Рис. П2.N. Текст класса …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Структура вставки в .docx:</w:t>
      </w:r>
      <w:r>
        <w:t xml:space="preserve"> </w:t>
      </w:r>
      <w:r>
        <w:t xml:space="preserve">1. Перед каждым листингом — отдельный абзац (выравнивание по ширине):</w:t>
      </w:r>
      <w:r>
        <w:t xml:space="preserve"> </w:t>
      </w:r>
      <w:r>
        <w:t xml:space="preserve">«На рис. П2.N представлен текст класса</w:t>
      </w:r>
      <w:r>
        <w:t xml:space="preserve"> </w:t>
      </w:r>
      <w:r>
        <w:rPr>
          <w:rStyle w:val="VerbatimChar"/>
        </w:rPr>
        <w:t xml:space="preserve">ИмяКласса.java</w:t>
      </w:r>
      <w:r>
        <w:t xml:space="preserve">.»</w:t>
      </w:r>
      <w:r>
        <w:t xml:space="preserve"> </w:t>
      </w:r>
      <w:r>
        <w:t xml:space="preserve">2. Сам код — каждая строка в отдельном абзаце, моноширинный шрифт (Consolas 10 pt), выравнивание</w:t>
      </w:r>
      <w:r>
        <w:t xml:space="preserve"> </w:t>
      </w:r>
      <w:r>
        <w:rPr>
          <w:bCs/>
          <w:b/>
        </w:rPr>
        <w:t xml:space="preserve">по левому краю</w:t>
      </w:r>
      <w:r>
        <w:t xml:space="preserve"> </w:t>
      </w:r>
      <w:r>
        <w:t xml:space="preserve">(НЕ по ширине!), без отступа первой строки, межстрочный интервал одинарный.</w:t>
      </w:r>
      <w:r>
        <w:t xml:space="preserve"> </w:t>
      </w:r>
      <w:r>
        <w:t xml:space="preserve">3. После листинга — центрированная подпись: «Рис. П2.N. Текст класса</w:t>
      </w:r>
      <w:r>
        <w:t xml:space="preserve"> </w:t>
      </w:r>
      <w:r>
        <w:rPr>
          <w:rStyle w:val="VerbatimChar"/>
        </w:rPr>
        <w:t xml:space="preserve">ИмяКласса.java</w:t>
      </w:r>
      <w:r>
        <w:t xml:space="preserve">».</w:t>
      </w:r>
      <w:r>
        <w:t xml:space="preserve"> </w:t>
      </w:r>
      <w:r>
        <w:t xml:space="preserve">4. Длинные строки переноси вручную с отступом продолжения 4 пробела — как в твоём существующем Приложении 2.</w:t>
      </w:r>
    </w:p>
    <w:p>
      <w:r>
        <w:pict>
          <v:rect style="width:0;height:1.5pt" o:hralign="center" o:hrstd="t" o:hr="t"/>
        </w:pict>
      </w:r>
    </w:p>
    <w:bookmarkStart w:id="29" w:name="X6dd87d6df2181448eb65376d67dd79045cdaa4a"/>
    <w:p>
      <w:pPr>
        <w:pStyle w:val="Heading3"/>
      </w:pPr>
      <w:r>
        <w:t xml:space="preserve">Рис. П2.X. Текст класса</w:t>
      </w:r>
      <w:r>
        <w:t xml:space="preserve"> </w:t>
      </w:r>
      <w:r>
        <w:rPr>
          <w:rStyle w:val="VerbatimChar"/>
        </w:rPr>
        <w:t xml:space="preserve">XmlModelParser.java</w:t>
      </w:r>
    </w:p>
    <w:p>
      <w:pPr>
        <w:pStyle w:val="FirstParagraph"/>
      </w:pPr>
      <w:r>
        <w:t xml:space="preserve">Фасад потокового разбора XML-метамодели E3Core. Распознаёт корневые элементы и делегирует разбор специализированным парсерам</w:t>
      </w:r>
      <w:r>
        <w:t xml:space="preserve"> </w:t>
      </w:r>
      <w:r>
        <w:rPr>
          <w:rStyle w:val="VerbatimChar"/>
        </w:rPr>
        <w:t xml:space="preserve">EntityParser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SearchParser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ParserException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XMLInputFactory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XMLStreamConstants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XMLStreamException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XMLStreamReader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FileInputStream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StaxUtils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attr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XmlNamespaces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NS_E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XmlNamespaces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NS_E3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XmlModelParser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EntityParser entityParser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SearchParser searchParser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XmlModelParser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EntityParser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SearchParser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XmlModelParser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EntityParser entityParser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SearchParser searchParser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AppModel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xmlFile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ParserException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XMLInputFactory</w:t>
      </w:r>
      <w:r>
        <w:rPr>
          <w:rStyle w:val="NormalTok"/>
        </w:rPr>
        <w:t xml:space="preserve">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XMLInputFactory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XMLInputFactory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IS_NAMESPACE_AWARE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FileInputStream</w:t>
      </w:r>
      <w:r>
        <w:rPr>
          <w:rStyle w:val="NormalTok"/>
        </w:rPr>
        <w:t xml:space="preserve"> fis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xmlFile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XMLStreamReader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createXMLStreamReader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AppModel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AppModel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XMLStreamConstants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START_ELEMENT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getNamespaceURI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getLocalName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NS_E3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setCategoryName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attr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setGuid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attr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NS_E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getEntities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"Searches"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NS_E3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setSearches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parseSearches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XMLStreamException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"Failed to parse XML model: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X8029591d1aed8f66b2fa88eb7f24e785ba19d21"/>
    <w:p>
      <w:pPr>
        <w:pStyle w:val="Heading3"/>
      </w:pPr>
      <w:r>
        <w:t xml:space="preserve">Рис. П2.X. Текст класса</w:t>
      </w:r>
      <w:r>
        <w:t xml:space="preserve"> </w:t>
      </w:r>
      <w:r>
        <w:rPr>
          <w:rStyle w:val="VerbatimChar"/>
        </w:rPr>
        <w:t xml:space="preserve">EntityClassifier.java</w:t>
      </w:r>
    </w:p>
    <w:p>
      <w:pPr>
        <w:pStyle w:val="FirstParagraph"/>
      </w:pPr>
      <w:r>
        <w:t xml:space="preserve">Классифицирует сущности XML-модели на категории PRIMARY, CHILD и REFERENCE_DICTIONARY. Используется для решения, генерировать ли для сущности отдельный тестовый класс.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EntityClassifier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EntityClassifier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Classification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EntityKind 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EntityObject parentEntity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PropertyGroup parentGrid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EntityObject parentEntity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PropertyGroup parentGrid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parentGrid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Classification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EntityObject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Classification childResult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findParentGrid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dictReason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isReferenceDictionary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dictReason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Classification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EntityKind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REFERENCE_DICTIONARY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fkOnlyReason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isFkTargetOnly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fkOnlyReason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Classification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EntityKind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REFERENCE_DICTIONARY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fkOnlyReason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 menu entry, CRUD and own searches"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Classification </w:t>
      </w:r>
      <w:r>
        <w:rPr>
          <w:rStyle w:val="FunctionTok"/>
        </w:rPr>
        <w:t xml:space="preserve">findParentGrid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EntityObject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hasCrudOperations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EntityObject other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getEntities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getGuid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getGuid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PropertyGroup pg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getPropertyGroups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StringTok"/>
        </w:rPr>
        <w:t xml:space="preserve">"Grid"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getStereoType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gridName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gridName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nameStemsMatch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gridName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"tab/grid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gridName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inside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Classification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EntityKind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isFkTargetOnly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EntityObject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fkRefs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navRefs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referrer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EntityObject other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getEntities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getGuid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isChildOf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Association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getAssociations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getAssociateItemGuid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isAddFromTree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isFlagDisplay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navRefs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fkRefs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referrer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referrer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fkRefs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navRefs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"FK picker target — referenced as AssociateItem from '"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referrer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isChildOf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EntityObject 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EntityObject 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PropertyGroup pg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getPropertyGroups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StringTok"/>
        </w:rPr>
        <w:t xml:space="preserve">"Grid"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getStereoType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gridName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gridName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nameStemsMatch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gridName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isReferenceDictionary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EntityObject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getFeatureName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"V_S_"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"featureName starts with V_S_"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searches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getSearches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getSearchObjectGuid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getSearchObjectGuid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getGuid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allEmptyParams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allTrivialResult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EntityClassifier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isTrivialResult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allEmptyParams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allTrivialResult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searches are pick-one"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isTrivialResult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SearchResultProperty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getResult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getProperties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SearchResultProperty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StringTok"/>
        </w:rPr>
        <w:t xml:space="preserve">"SearchKey"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StringTok"/>
        </w:rPr>
        <w:t xml:space="preserve">"SearchName"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nameStemsMatch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s/]+"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s/]+"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wb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рис.-п2.x.-текст-класса-testrunner.java"/>
    <w:p>
      <w:pPr>
        <w:pStyle w:val="Heading3"/>
      </w:pPr>
      <w:r>
        <w:t xml:space="preserve">Рис. П2.X. Текст класса</w:t>
      </w:r>
      <w:r>
        <w:t xml:space="preserve"> </w:t>
      </w:r>
      <w:r>
        <w:rPr>
          <w:rStyle w:val="VerbatimChar"/>
        </w:rPr>
        <w:t xml:space="preserve">TestRunner.java</w:t>
      </w:r>
    </w:p>
    <w:p>
      <w:pPr>
        <w:pStyle w:val="FirstParagraph"/>
      </w:pPr>
      <w:r>
        <w:t xml:space="preserve">Запускает сгенерированный Maven-проект через системный вызов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, читает результаты из XML-отчётов Surefire потоковым StAX-парсером, привязывает скриншоты и формирует HTML/CSV-отчёт.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generator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TestCaseResult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TestRunResult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XMLInputFactory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XMLStreamConstants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XMLStreamReader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TimeUnit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Consumer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TestRunner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lastMavenOutput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TestRunResult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projectDir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xmlFileName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lineConsumer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testFilter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fastMode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Path pomFile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"pom.xml"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pomFile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"pom.xml не найден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projectDir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"mvn"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testFilter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testFilter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"-Dtest="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testFilter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"-DfailIfNoTests=false"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fastMode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"-DforkCount=3"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"-Dheadless=true"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ProcessBuilder</w:t>
      </w:r>
      <w:r>
        <w:rPr>
          <w:rStyle w:val="NormalTok"/>
        </w:rPr>
        <w:t xml:space="preserve"> pb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redirectErrorStream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toFile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outputBuilder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outputBuilder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lineConsumer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lineConsumer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lastMavenOutput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destroyForcibly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interrupt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destroyForcibly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durationMs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TestRunResult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TestRunResult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setRunTimestamp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setDurationMs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setXmlFileName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xmlFileName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setBaseUrl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setMavenOutput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lastMavenOutput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Path reportsDir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"target/surefire-reports"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reportsDir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parseSurefireReports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setTotalTests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setFailed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setSkipped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parseSurefireReports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reportsDir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TestRunResult runResult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TestCaseResult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reportsDir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xmlFiles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".xml"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XMLInputFactory</w:t>
      </w:r>
      <w:r>
        <w:rPr>
          <w:rStyle w:val="NormalTok"/>
        </w:rPr>
        <w:t xml:space="preserve">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XMLInputFactory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xmlFile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xmlFiles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xmlFile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XMLStreamReader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   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createXMLStreamReader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parseOneReport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allResults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parsing report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xmlFile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TestCaseResult tcr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allResults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isSkipped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skipped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isPassed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runResult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runResult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runResult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runResult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setSkipped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skipped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runResult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allResults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parseOneReport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XMLStreamReader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TestCaseResult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XMLStreamConstants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START_ELEMENT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StringTok"/>
        </w:rPr>
        <w:t xml:space="preserve">"testcase"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getLocalName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TestCaseResult tcr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tcr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setClassName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tcr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setMethodName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tcr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setDurationMs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parseDoubleAttr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tcr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XMLStreamConstants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END_ELEMENT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"testcase"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getLocalName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XMLStreamConstants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START_ELEMENT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"failure"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tcr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tcr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setFailureMessage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"skipped"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tcr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tcr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setSkipped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allResults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parseDoubleAttr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XMLStreamReader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NumberFormatException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рис.-п2.x.-текст-класса-reportdao.java"/>
    <w:p>
      <w:pPr>
        <w:pStyle w:val="Heading3"/>
      </w:pPr>
      <w:r>
        <w:t xml:space="preserve">Рис. П2.X. Текст класса</w:t>
      </w:r>
      <w:r>
        <w:t xml:space="preserve"> </w:t>
      </w:r>
      <w:r>
        <w:rPr>
          <w:rStyle w:val="VerbatimChar"/>
        </w:rPr>
        <w:t xml:space="preserve">ReportDao.java</w:t>
      </w:r>
    </w:p>
    <w:p>
      <w:pPr>
        <w:pStyle w:val="FirstParagraph"/>
      </w:pPr>
      <w:r>
        <w:t xml:space="preserve">Фасад над встроенной БД SQLite. Открывает транзакцию для записи прогона и связанных тест-кейсов, инициализирует схему при первом запуске, отдаёт историю прогонов.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autotestgen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TestRunResult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Connection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DatabaseConnection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TestRunDao testRunDao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TestCaseDao testCaseDao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ReportDao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DatabaseConnection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ReportDao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DatabaseConnection connection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TestRunDao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ReportDao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DatabaseConnection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TestRunDao testRunDao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TestCaseDao testCaseDao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testRunDao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testRunDao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testCaseDao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testCaseDao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SchemaInitializer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TestRunResult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runId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testRunDao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testCaseDao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getResults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"Failed to save test run: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TestRunResult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getAllRuns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TestRunResult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TestRunDao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RunRow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testRunDao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setResults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testCaseDao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selectByRunId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runs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"Failed to load runs: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чек-лист-правок"/>
    <w:p>
      <w:pPr>
        <w:pStyle w:val="Heading2"/>
      </w:pPr>
      <w:r>
        <w:t xml:space="preserve">Чек-лист правок</w:t>
      </w:r>
    </w:p>
    <w:p>
      <w:pPr>
        <w:numPr>
          <w:ilvl w:val="0"/>
          <w:numId w:val="1003"/>
        </w:numPr>
        <w:pStyle w:val="Compact"/>
      </w:pPr>
      <w:r>
        <w:t xml:space="preserve">☐ Открыть стиль</w:t>
      </w:r>
      <w:r>
        <w:t xml:space="preserve"> </w:t>
      </w:r>
      <w:r>
        <w:rPr>
          <w:rStyle w:val="VerbatimChar"/>
        </w:rPr>
        <w:t xml:space="preserve">Обычный</w:t>
      </w:r>
      <w:r>
        <w:t xml:space="preserve"> </w:t>
      </w:r>
      <w:r>
        <w:t xml:space="preserve">→ выравнивание «По ширине» (правит сразу 157 параграфов).</w:t>
      </w:r>
    </w:p>
    <w:p>
      <w:pPr>
        <w:numPr>
          <w:ilvl w:val="0"/>
          <w:numId w:val="1003"/>
        </w:numPr>
        <w:pStyle w:val="Compact"/>
      </w:pPr>
      <w:r>
        <w:t xml:space="preserve">☐ Удалить</w:t>
      </w:r>
      <w:r>
        <w:t xml:space="preserve"> </w:t>
      </w:r>
      <w:r>
        <w:rPr>
          <w:rStyle w:val="VerbatimChar"/>
        </w:rPr>
        <w:t xml:space="preserve">[20]</w:t>
      </w:r>
      <w:r>
        <w:t xml:space="preserve"> </w:t>
      </w:r>
      <w:r>
        <w:t xml:space="preserve">в параграфе 4400 (Приложение 1, ТЗ).</w:t>
      </w:r>
    </w:p>
    <w:p>
      <w:pPr>
        <w:numPr>
          <w:ilvl w:val="0"/>
          <w:numId w:val="1003"/>
        </w:numPr>
        <w:pStyle w:val="Compact"/>
      </w:pPr>
      <w:r>
        <w:t xml:space="preserve">☐ Удалить</w:t>
      </w:r>
      <w:r>
        <w:t xml:space="preserve"> </w:t>
      </w:r>
      <w:r>
        <w:rPr>
          <w:rStyle w:val="VerbatimChar"/>
        </w:rPr>
        <w:t xml:space="preserve">[27]</w:t>
      </w:r>
      <w:r>
        <w:t xml:space="preserve"> </w:t>
      </w:r>
      <w:r>
        <w:t xml:space="preserve">в параграфе 4313 (запись №2 списка литературы).</w:t>
      </w:r>
    </w:p>
    <w:p>
      <w:pPr>
        <w:numPr>
          <w:ilvl w:val="0"/>
          <w:numId w:val="1003"/>
        </w:numPr>
        <w:pStyle w:val="Compact"/>
      </w:pPr>
      <w:r>
        <w:t xml:space="preserve">☐ Перепроверить три ссылки</w:t>
      </w:r>
      <w:r>
        <w:t xml:space="preserve"> </w:t>
      </w:r>
      <w:r>
        <w:rPr>
          <w:rStyle w:val="VerbatimChar"/>
        </w:rPr>
        <w:t xml:space="preserve">[7]</w:t>
      </w:r>
      <w:r>
        <w:t xml:space="preserve"> </w:t>
      </w:r>
      <w:r>
        <w:t xml:space="preserve">подряд в 1.4/1.5 — оставить только первую.</w:t>
      </w:r>
    </w:p>
    <w:p>
      <w:pPr>
        <w:numPr>
          <w:ilvl w:val="0"/>
          <w:numId w:val="1003"/>
        </w:numPr>
        <w:pStyle w:val="Compact"/>
      </w:pPr>
      <w:r>
        <w:t xml:space="preserve">☐ Заменить устаревшие листинги (Приложение 2, рис. П2.1–П2.7) на четыре актуальных класса выше:</w:t>
      </w:r>
      <w:r>
        <w:t xml:space="preserve"> </w:t>
      </w:r>
      <w:r>
        <w:rPr>
          <w:rStyle w:val="VerbatimChar"/>
        </w:rPr>
        <w:t xml:space="preserve">XmlModelParser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ReportDao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 Для каждого нового листинга: моноширинный шрифт (Consolas 10 pt), межстрочный 1.0, выравнивание по левому краю, перед — текст «На рис. П2.N представлен текст класса …», после — центрированная подпись «Рис. П2.N. Текст класса …».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2026-06-11T02:48:30Z</dcterms:created>
  <dcterms:modified xsi:type="dcterms:W3CDTF">2026-06-11T02:48:30Z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