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Times New Roman" w:hAnsi="Times New Roman" w:eastAsia="Times New Roman"/>
          <w:b/>
          <w:i w:val="0"/>
          <w:sz w:val="28"/>
        </w:rPr>
        <w:t>1.3 Анализ процесса обработки информации, выбор методов и алгоритмов решения задачи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Разрабатываемая информационная система предназначена для автоматизации тестирования web-приложений, построенных на платформе E3Core (разработка МАУ «ЦМИРиТ»). Исходными данными для системы служит формальное XML-описание метамодели тестируемого приложения, а результатом — набор исполняемых автотестов на базе Selenium WebDriver, их запуск и анализ полученных результатов. Прежде чем выбирать методы и алгоритмы решения задачи, необходимо рассмотреть природу обрабатываемой информации — особенности платформы E3Core и тестируемого приложения, — поскольку именно они определяют структуру входных данных, способ навигации по интерфейсу и состав формируемых проверок.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Обработку информации в системе целесообразно представить как конвейер из пяти последовательных этапов (рисунок 1): разбор XML-модели, классификация сущностей, генерация тестового проекта, запуск тестов и анализ результатов. Этапы связаны по данным: выход каждого этапа служит входом следующего. Конвейерная организация обеспечивает воспроизводимость результата — при одинаковых входных данных (XML-модель и параметры запуска) система формирует одинаковую структуру проекта и сопоставимый набор тестовых сценариев, что важно для повторного прогона и сопровождения.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5137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1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13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 – Общая схема процесса обработки информации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Состав входных, промежуточных и выходных данных приведён в таблице 1.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Входные, промежуточные и выходные данные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28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Данные</w:t>
            </w:r>
          </w:p>
        </w:tc>
        <w:tc>
          <w:tcPr>
            <w:tcW w:type="dxa" w:w="7427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Состав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Входные</w:t>
            </w:r>
          </w:p>
        </w:tc>
        <w:tc>
          <w:tcPr>
            <w:tcW w:type="dxa" w:w="742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XML-файл метамодели (сущности, атрибуты, группы свойств, операции, связи, поиски); параметры запуска: адрес тестируемого сайта, учётные данные, каталог генерации, тип сайта, наименование подсистемы.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Промежуточные</w:t>
            </w:r>
          </w:p>
        </w:tc>
        <w:tc>
          <w:tcPr>
            <w:tcW w:type="dxa" w:w="742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Объектная модель метаданных в оперативной памяти; сгенерированный тестовый проект (объекты страниц, тестовые классы, инфраструктурные компоненты, файл сборки); XML-отчёты Surefire о выполнении.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Выходные</w:t>
            </w:r>
          </w:p>
        </w:tc>
        <w:tc>
          <w:tcPr>
            <w:tcW w:type="dxa" w:w="7427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Сводная статистика прогона (всего/успешно/провалено/пропущено); отчёты HTML и CSV; снимки экрана по шагам; записи о прогоне и результатах в базе отчётов.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E3Core — платформа, на которой пользовательский интерфейс прикладной подсистемы (ППС) не программируется вручную, а формируется автоматически по опубликованной модели предметной области (реализация спецификации RVV). Это означает, что состав экранных форм, полей, таблиц, операций и поисков однозначно определяется метаданными. Именно детерминированность интерфейса моделью делает возможной автоматическую генерацию автотестов: если по модели строится интерфейс, то по той же модели можно построить и сценарии его проверки.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Оператор работает с данными через единый трёхпанельный браузер объектов (рисунок 2). Слева располагается дерево объектов с загруженными объектами и их связями; справа сверху — список групп свойств выбранного объекта; справа снизу — представление выбранной группы свойств. Команды над объектами вызываются из главного меню подсистемы и из контекстного меню, а поиск ведётся в отдельном окне (дерево поисков → параметры → результаты). Внешний вид рабочего пространства одинаков для любой ППС — подсистемы различаются только составом меню и данными.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040000" cy="29641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brows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64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2 – Трёхпанельный браузер объектов E3Core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Данные объекта отображаются группами свойств нескольких типов; их перечень приведён в таблице 2. Для задачи генерации автотестов наибольшее значение имеют карточка и грид: именно они содержат редактируемые поля и операции, которые проверяются автотестами.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Типы групп свойств E3Core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Тип группы свойств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Карточка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Свойства одного объекта в виде «наименование атрибута — значение»; ссылочные поля выбираются из справочника.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Табличное представление (грид)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Свойства множества объектов в виде таблицы (строки — объекты, колонки — атрибуты); постраничная навигация.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Отчёты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Список доступных отчётов; формирование отчёта с вводом параметров и выбором формата.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Пространственные данные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Отображение данных в виде фрагмента географической карты.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График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Числовые свойства в виде круговой, столбцовой или линейной диаграммы.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Существенная для тестирования особенность реализации интерфейса — применение библиотеки ExtJS. Поля карточки реализованы компонентом PropertyGrid, у ячеек которого нет устойчивых системных идентификаторов (имён или id), а ссылочные поля заполняются через выпадающие списки и модальные окна-пикеры. Поэтому автотест не может адресовать поле по имени HTML-элемента и вынужден обращаться к нему по отображаемому (русскому) наименованию, а действия (добавление, сохранение, удаление) вызывать через меню «Редактирование». Эта особенность напрямую обосновывает выбор паттерна организации тестов (см. далее).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Апробация системы выполняется на ППС «Гаражно-строительные кооперативы» (АИС ГСК), предназначенной для хранения и корректировки базы ГСК/ОГСК с сохранением истории изменений, учёта проводимых совещаний (повестка, приглашённые, участники) и прикрепления документов. Модель этой подсистемы содержит как основные сущности, доступные из главного меню, так и вспомогательные — дочерние сущности (вкладки-гриды и узлы дерева) и справочники. Доменная модель приведена на рисунке 3: сплошные линии обозначают композицию (дочерняя сущность существует внутри родителя — вкладкой-гридом или узлом дерева), пунктирные — ссылки на справочники (выбор значения поля).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420000" cy="5826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do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582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3 – Доменная модель сущностей АИС ГСК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сущностей модели и их роль приведены в таблице 3. Это разнообразие сущностей учитывается алгоритмом классификации, который определяет, для каких сущностей формировать автотесты и каким способом.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3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Сущности АИС ГСК и их роль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72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Сущность</w:t>
            </w:r>
          </w:p>
        </w:tc>
        <w:tc>
          <w:tcPr>
            <w:tcW w:type="dxa" w:w="6633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Роль в модели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ГСК/ОГСК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Основная: карточка, операции добавления/изменения/удаления, поиск; вкладки «История» и «Документы»; иерархия (ГСК включается в ОГСК).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История ГСК/ОГСК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Дочерняя (вкладка-грид): хранит прежние значения, сохраняемые при логическом изменении.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Документ ГСК/ОГСК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Дочерняя (вкладка-грид): прикреплённые к ГСК/ОГСК файлы.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Совещание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Основная: карточка, операции, поиск; связанные приглашённые, участники, повестка и документы.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Приглашённый ГСК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Дочерняя (вкладка-грид совещания).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Участник совещания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Дочерняя (вкладка-грид совещания).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Повестка совещания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Дочерняя (узел дерева совещания, добавляется из карточки родителя).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Документ совещания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Дочерняя (вкладка-грид совещания).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Должностное лицо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Справочник: председатель/секретарь/представитель; выбирается из ссылочных полей.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ГСК/ОГСК, Район, Причина смены, Справочник Да/Нет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Справочники: значения ссылочных полей карточек.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 основных объектов есть служебные поля «Оператор» и «Дата изменения», которые заполняются системой автоматически и недоступны для ручного ввода; такие поля автотест не заполняет. Обязательные поля помечаются символом «*»; для части полей задана маска ввода (например, дата в формате 99.99.9999). Эти признаки берутся из метамодели и определяют правила подбора тестовых данных.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Входная XML-модель имеет древовидную структуру (рисунок 4). Корневой элемент содержит описание подсистемы (Category) и общий блок поисков (Searches). Подсистема включает множество сущностей (Object); каждая сущность описывается ключом и именем хранимого представления (таблицы), набором связей с другими сущностями (AssociationObjectA) и группами свойств (Properties). Группа свойств может быть карточкой или гридом и содержит атрибуты (Property) и, при наличии, операцию (Operation) с набором допустимых действий (Modifier). Блок поисков содержит запросы (Search) с параметрами (SearchParam) и колонками результата (SearchResultProperty). Элементы модели снабжены глобальными идентификаторами (GUID) и взаимными ссылками, благодаря которым связи и ссылочные поля сопоставляются с целевыми сущностями. Пространства имён (префиксы e, e3, md) разделяют элементы разных уровней схемы.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396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2_xml_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39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4 – Структура XML-метамодели E3Core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Все элементы метамодели, показанные на рисунке 4, и их назначение приведены в таблице 4.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4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элементы XML-метамодели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608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Элемент</w:t>
            </w:r>
          </w:p>
        </w:tc>
        <w:tc>
          <w:tcPr>
            <w:tcW w:type="dxa" w:w="6746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E3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Корневой элемент XML-модели; объединяет описание подсистемы и общий блок поисковых запросов.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Category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Подсистема (ППС): её наименование (CategoryName) и идентификатор; по наименованию определяется подсистема, открываемая после входа.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Object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Сущность предметной области: отображаемое имя, имя ключевого поля (keyName) и имя хранимого представления — таблицы (featureName).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AssociationObjectA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Связь сущности с другой сущностью (ссылочное поле): роли сторон, признак показа узлом дерева (addFromTree), признак отображения (flag_display); указывает на связанную сущность.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Properties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Группа свойств сущности. Вид группы задают stereoType и type_link: карточка (type_link="P") или грид (stereoType="Grid").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Property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Атрибут (поле): отображаемое имя, системное имя (attrName), тип значения (attrType), обязательность (necessarily), маска (mask), способ ввода (dmodule), стереотип (Directory/Ref — ссылочное поле).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Операция группы свойств: имя серверного метода и модуля её выполнения.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OperationParam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 операции: имя, направление передачи и тип значения.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Modifier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Допустимое действие операции: I — добавить, U — сохранить изменения, D — удалить, E — лог. изменить (с историей), A — в архив.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Searches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Блок описаний поисковых запросов подсистемы.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Поисковый запрос: его имя и идентификатор сущности, по которой выполняется поиск (searchObjectGUID).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SearchQuery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Текст запроса к источнику данных, по которому отбираются объекты.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SearchParam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 поиска: имя, отображаемый заголовок, тип значения, маска ввода и признак обязательности.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SearchResult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Описание результата поиска: имя поля-идентификатора объекта.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SearchResultProperty</w:t>
            </w:r>
          </w:p>
        </w:tc>
        <w:tc>
          <w:tcPr>
            <w:tcW w:type="dxa" w:w="674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Колонка результата поиска: имя, отображаемый заголовок и признак видимости.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Фрагмент входной XML-модели (с сокращениями) приведён на рисунке 5; он иллюстрирует описание сущности «ГСК/ОГСК», её обязательных и ссылочных атрибутов, операции с действиями и связанного поискового запроса.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405744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3_xml_frag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57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5 – Фрагмент входной XML-модели метаданных (сокращённо)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Существуют три основных подхода к разбору XML: построение полного дерева документа в памяти (DOM), событийный «выталкивающий» разбор (SAX) и потоковый «вытягивающий» разбор (StAX). Их сравнение приведено в таблице 5.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5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Сравнение методов разбора XML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134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Метод</w:t>
            </w:r>
          </w:p>
        </w:tc>
        <w:tc>
          <w:tcPr>
            <w:tcW w:type="dxa" w:w="2494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Модель</w:t>
            </w:r>
          </w:p>
        </w:tc>
        <w:tc>
          <w:tcPr>
            <w:tcW w:type="dxa" w:w="1134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Память</w:t>
            </w:r>
          </w:p>
        </w:tc>
        <w:tc>
          <w:tcPr>
            <w:tcW w:type="dxa" w:w="4592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Управление и пригодность для задачи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DOM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Полное дерево документа в памяти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Высокая</w:t>
            </w:r>
          </w:p>
        </w:tc>
        <w:tc>
          <w:tcPr>
            <w:tcW w:type="dxa" w:w="459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Произвольный доступ к узлам, но большой расход памяти; избыточен для последовательного однократного чтения метамодели.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SAX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Событийный, push (парсер вызывает обработчик)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459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Программа не управляет ходом разбора, неудобно условно пропускать поддеревья и останавливаться.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StAX</w:t>
            </w:r>
          </w:p>
        </w:tc>
        <w:tc>
          <w:tcPr>
            <w:tcW w:type="dxa" w:w="249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Потоковый, pull (программа запрашивает события)</w:t>
            </w:r>
          </w:p>
        </w:tc>
        <w:tc>
          <w:tcPr>
            <w:tcW w:type="dxa" w:w="1134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Низкая</w:t>
            </w:r>
          </w:p>
        </w:tc>
        <w:tc>
          <w:tcPr>
            <w:tcW w:type="dxa" w:w="459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Программа сама «ведёт» разбор: читает нужные элементы, пропускает ненужные, останавливается; подходит лучше всего.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чтения XML-модели выбран потоковый метод StAX (Streaming API for XML). StAX относится к разбору «по запросу» (pull-парсер): программа последовательно запрашивает у анализатора очередное событие (начало элемента, конец элемента, текст) и сама решает, как его обработать. В отличие от DOM, потоковый метод не загружает весь документ в память; в отличие от SAX, управление ходом разбора остаётся за программой, что позволяет читать только нужные элементы, пропускать целые поддеревья и при необходимости прекращать обработку. Анализатор настроен на учёт пространств имён, что позволяет различать одноимённые элементы разных уровней схемы.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Алгоритм разбора (рисунок 6; здесь и далее схемы алгоритмов выполнены по ГОСТ 19.701-90) состоит в последовательном чтении событий до конца документа. При появлении начала элемента анализатор определяет его вид: описание подсистемы — сохраняет её имя и идентификатор; сущность — передаёт управление процедуре разбора сущности; блок поисков — процедуре разбора поисков. Неизвестные или неиспользуемые блоки пропускаются перемоткой курсора до соответствующего закрывающего тега, что снижает связанность анализатора с деталями формата. Вложенность отслеживается по балансу открывающих и закрывающих тегов. По достижении конца документа возвращается сформированная объектная модель.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6916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4_stax_par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691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6 – Алгоритм потокового разбора XML-модели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Результатом разбора является объектная модель — представление метамодели в виде связанных элементов в оперативной памяти: подсистема, сущности, группы свойств, атрибуты, операции, связи и поиски. На этой модели работают все последующие этапы. После построения модели каждая сущность пропускается через классификатор, который относит её к одной из трёх категорий (таблица 6). Цель классификации — не генерировать бесполезные тесты для сущностей, недоступных из главного меню: справочников, подбираемых только из ссылочных полей, и дочерних сущностей, существующих лишь внутри карточки родителя. Для таких сущностей самостоятельные тесты давали бы только пропуски навигации — потерянное время и неинформативные отчёты.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6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Категории сущностей по результату классификации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04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Категория</w:t>
            </w:r>
          </w:p>
        </w:tc>
        <w:tc>
          <w:tcPr>
            <w:tcW w:type="dxa" w:w="4762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Описание</w:t>
            </w:r>
          </w:p>
        </w:tc>
        <w:tc>
          <w:tcPr>
            <w:tcW w:type="dxa" w:w="255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Что генерируется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PRIMARY (основная)</w:t>
            </w:r>
          </w:p>
        </w:tc>
        <w:tc>
          <w:tcPr>
            <w:tcW w:type="dxa" w:w="476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Сущность с точкой входа в главном меню, собственными операциями и поисками.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 страницы и полный тестовый класс.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CHILD (дочерняя)</w:t>
            </w:r>
          </w:p>
        </w:tc>
        <w:tc>
          <w:tcPr>
            <w:tcW w:type="dxa" w:w="476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Существует как вкладка-грид внутри родителя или как узел дерева; из главного меню недоступна.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Тест в составе карточки родителя.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REFERENCE_DICTIONARY (справочник)</w:t>
            </w:r>
          </w:p>
        </w:tc>
        <w:tc>
          <w:tcPr>
            <w:tcW w:type="dxa" w:w="476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Доступна только при подборе значения ссылочного поля (FK-пикер) или является системным справочником.</w:t>
            </w:r>
          </w:p>
        </w:tc>
        <w:tc>
          <w:tcPr>
            <w:tcW w:type="dxa" w:w="255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Самостоятельные тесты не генерируются.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Правила классификации применяются последовательно (рисунок 7). Сначала проверяется, не совпадает ли сущность по имени с какой-либо вкладкой-гридом внутри другой сущности (дочерняя сущность-вкладка). Затем — не показывается ли она узлом дерева внутри родителя при наличии собственных операций (дочерний узел дерева). Далее распознаются справочники: по служебному префиксу имени представления; по тому, что все связанные поиски не имеют параметров и возвращают только ключ и наименование (поиск «выбрать одно значение»); по тому, что сущность используется исключительно как цель подбора ссылочного значения и ни один родитель не показывает её строки таблицей. Если ни одно правило не сработало, сущность считается основной.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6491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5_classific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49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7 – Алгоритм классификации сущностей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 применения алгоритма к модели АИС ГСК приведён в таблице 7. Из десяти с лишним сущностей модели самостоятельные тесты формируются только для основных, дочерние покрываются в составе родителя, а справочники из генерации исключаются.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7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Классификация сущностей АИС ГСК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72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Сущность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Категория</w:t>
            </w:r>
          </w:p>
        </w:tc>
        <w:tc>
          <w:tcPr>
            <w:tcW w:type="dxa" w:w="436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Причина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ГСК/ОГСК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PRIMARY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Пункт меню, операции, собственный поиск.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Совещание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PRIMARY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Пункт меню, операции, собственный поиск.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История ГСК/ОГСК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CHILD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Вкладка-грид внутри «ГСК/ОГСК».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Документ ГСК/ОГСК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CHILD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Вкладка-грид внутри «ГСК/ОГСК».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Приглашённый ГСК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CHILD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Вкладка-грид внутри «Совещание».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Участник совещания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CHILD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Вкладка-грид внутри «Совещание».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Повестка совещания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CHILD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Узел дерева внутри «Совещание» (добавляется из карточки родителя).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Документ совещания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CHILD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Вкладка-грид внутри «Совещание».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Должностное лицо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REFERENCE_DICTIONARY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Цель ссылочных полей; системный справочник.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Тип ГСК/ОГСК, Район, Причина смены, Справочник Да/Нет</w:t>
            </w:r>
          </w:p>
        </w:tc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REFERENCE_DICTIONARY</w:t>
            </w:r>
          </w:p>
        </w:tc>
        <w:tc>
          <w:tcPr>
            <w:tcW w:type="dxa" w:w="436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Значения ссылочных полей; поиск «выбрать одно значение».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Сгенерированные автотесты организуются по архитектурному шаблону «Объект страницы» (Page Object). Согласно этому шаблону, для каждой экранной формы создаётся отдельный объект, который инкапсулирует элементы формы и операции над ними и предоставляет тесту понятные методы предметной области (например, «заполнить поле», «нажать Добавить», «поле отображается», «число строк таблицы»). Тестовый класс описывает сценарий проверки в терминах этих методов и не обращается к элементам страницы напрямую (рисунок 8).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60000" cy="37796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6_page_obj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79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8 – Взаимодействие компонентов по паттерну Page Object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Главное преимущество такого разделения — устойчивость к изменениям: если разметка формы меняется, правки локализуются в одном объекте страницы, а тексты тестов остаются неизменными. Кроме того, повышается читаемость тестов и повторно используются операции над формой. Без этого шаблона детали поиска элементов были бы разбросаны по всем тестам, и любое изменение интерфейса требовало бы массовых правок.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Применительно к E3Core объект страницы учитывает рассмотренные выше особенности платформы: поля карточки адресуются по отображаемому (русскому) имени, поскольку устойчивых идентификаторов у ячеек PropertyGrid нет; для ссылочных полей выполняется выбор значения из выпадающего списка или модального окна-пикера; действия (Добавить, Сохранить, Удалить) вызываются через меню «Редактирование», а навигация к сущности — через главное меню и форму поиска. Таким образом, вся специфика взаимодействия со стендом сосредоточена в объектах страниц, а тестовые сценарии остаются простыми и переносимыми.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Генерация выполняется по шаблонному принципу: на основе объектной модели формируются исходные файлы тестового проекта по заранее заданным образцам. Сначала создаётся структура проекта — файл сборки и конфигурация запуска, — затем инфраструктурные компоненты, общие для всех тестов, после чего для каждой сущности по результату классификации формируются её объект страницы и тестовый класс либо тест в составе родителя; справочники пропускаются (рисунок 9). По завершении сохраняется отчёт о классификации.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40000" cy="41032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7_gene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4103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9 – Алгоритм генерации тестового проекта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Состав формируемых файлов проекта приведён в таблице 8. Инфраструктурные компоненты создаются один раз, а объект страницы и тестовый класс — для каждой тестируемой сущности.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8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Состав генерируемого тестового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72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6633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Файл сборки проекта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Описывает зависимости (Selenium, JUnit 5, менеджер драйверов) и подключает модуль выполнения тестов.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Конфигурация запуска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 выполнения тестов (последовательный прогон, перенаправление вывода).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Общий драйвер браузера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Единый экземпляр браузера: однократные вход в систему и выбор подсистемы, переиспользуемые всеми тестами.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Базовый тестовый класс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Общие операции: навигация по меню, открытие карточки и формы поиска, ожидания, снимки экрана.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Набор тестовых данных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Параметры стенда: адрес, учётные данные, тип сайта, наименование подсистемы.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Объект страницы (на сущность)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Инкапсуляция полей и операций формы конкретной сущности (Page Object).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Тестовый класс (на сущность)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Набор проверок сущности на JUnit 5.</w:t>
            </w:r>
          </w:p>
        </w:tc>
      </w:tr>
      <w:tr>
        <w:tc>
          <w:tcPr>
            <w:tcW w:type="dxa" w:w="272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Отчёт о классификации</w:t>
            </w:r>
          </w:p>
        </w:tc>
        <w:tc>
          <w:tcPr>
            <w:tcW w:type="dxa" w:w="663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Перечень сущностей с указанием категории и причины (основная/дочерняя/справочник).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Результаты генерации разных XML-моделей размещаются в отдельных подкаталогах по имени файла, что исключает их смешение; повторная генерация той же модели полностью пересоздаёт её подкаталог, не оставляя устаревших тестов. Имена классов и методов формируются из русских имён сущностей и атрибутов автоматически — алгоритмом транслитерации кириллицы в латиницу с приведением к принятому в языке программирования виду. Примеры преобразования приведены в таблице 9.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9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Примеры формирования имён (транслитерация)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68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Имя в модели</w:t>
            </w:r>
          </w:p>
        </w:tc>
        <w:tc>
          <w:tcPr>
            <w:tcW w:type="dxa" w:w="5669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Сформированное имя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Сущность «ГСК/ОГСК»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Классы GskOgskPage, GskOgskTest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Сущность «Совещание»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Классы SoveshchaniePage, SoveshchanieTest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Сущность «История ГСК/ОГСК»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Классы IstoriyaGskOgskPage, IstoriyaGskOgskTest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Атрибут GBS_NAME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Метод заполнения fillGbsName</w:t>
            </w:r>
          </w:p>
        </w:tc>
      </w:tr>
      <w:tr>
        <w:tc>
          <w:tcPr>
            <w:tcW w:type="dxa" w:w="368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Атрибут DATE_BEGIN</w:t>
            </w:r>
          </w:p>
        </w:tc>
        <w:tc>
          <w:tcPr>
            <w:tcW w:type="dxa" w:w="566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Метод заполнения fillDateBegin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заполнения полей форм система подбирает значения по типу атрибута и маске ввода (рисунок 10). Ссылочные поля (справочник, ссылка) не заполняются текстом — для них предусмотрен выбор готового значения из выпадающего списка. Если у поля задана маска, значение формируется по ней; если маски нет — по типу значения. Правила подбора приведены в таблице 10, грамматика плейсхолдеров маски — в таблице 11.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438786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8_test_da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87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10 – Алгоритм подбора тестовых данных по типу и маске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10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Правила подбора значения по типу атрибута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Условие</w:t>
            </w:r>
          </w:p>
        </w:tc>
        <w:tc>
          <w:tcPr>
            <w:tcW w:type="dxa" w:w="6520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Подбираемое 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Справочник/ссылка (Directory/Ref)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Значение не задаётся текстом — выбор из выпадающего списка.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Строка без маски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Текстовый шаблон «Test_&lt;имя атрибута&gt;»; для обязательных полей добавляется суффикс уникальности.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Число (decimal)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Случайное число из заданного диапазона (100–999).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Дата (date)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Сегодняшняя дата в формате дд.мм.гггг.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Дата-время (dateTime)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Текущий момент со сдвигом назад (минус 10 минут), чтобы значение не оказалось в будущем.</w:t>
            </w:r>
          </w:p>
        </w:tc>
      </w:tr>
      <w:tr>
        <w:tc>
          <w:tcPr>
            <w:tcW w:type="dxa" w:w="283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Поле с маской</w:t>
            </w:r>
          </w:p>
        </w:tc>
        <w:tc>
          <w:tcPr>
            <w:tcW w:type="dxa" w:w="6520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Значение по грамматике маски (см. таблицу 11); маска-дата даёт корректную текущую дату.</w:t>
            </w:r>
          </w:p>
        </w:tc>
      </w:tr>
    </w:tbl>
    <w:p>
      <w:pPr>
        <w:spacing w:after="40"/>
      </w:pP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11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Грамматика плейсхолдеров маски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118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Плейсхолдер</w:t>
            </w:r>
          </w:p>
        </w:tc>
        <w:tc>
          <w:tcPr>
            <w:tcW w:type="dxa" w:w="6236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Значение позиции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9, 0, #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Цифра.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a, A, L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Буква.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X, x, *, ?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Любой символ.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прочие символы (-, /, ., пробел)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Литеральный разделитель — переносится в значение как есть.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маска вида 99.99.9999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Распознаётся как дата — подставляется корректная текущая дата.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маска вида 99.99.9999 99:99</w:t>
            </w:r>
          </w:p>
        </w:tc>
        <w:tc>
          <w:tcPr>
            <w:tcW w:type="dxa" w:w="6236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Распознаётся как дата-время — подставляется текущий момент.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Генератор псевдослучайных значений инициализируется фиксированным начальным значением, поэтому при повторной генерации подбираются те же данные — это поддерживает воспроизводимость тестового набора. Подбор корректных значений для обязательных полей и учёт масок снижают долю отказов формы по причине некорректного ввода и повышают долю содержательно выполненных проверок.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Состав проверок для каждой тестируемой сущности определяется её описанием в модели: набором обязательных полей, перечнем допустимых действий (Modifier) и связанными поисками. Перечень формируемых проверок приведён в таблице 12. Проверки внутри класса упорядочены так, чтобы сначала выполнялись смоук-проверки (доступность полей), затем — проверки валидации, операции создания/изменения/удаления и поиски.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12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Состав проверок, формируемых для тестируемой сущности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Проверка</w:t>
            </w:r>
          </w:p>
        </w:tc>
        <w:tc>
          <w:tcPr>
            <w:tcW w:type="dxa" w:w="3005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Условие генерации</w:t>
            </w:r>
          </w:p>
        </w:tc>
        <w:tc>
          <w:tcPr>
            <w:tcW w:type="dxa" w:w="4082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Наличие полей формы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Всегда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Навигация к сущности и отображение всех полей карточки/грида.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Валидация обязательных полей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Есть обязательные поля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Отправка пустой формы должна отклоняться системой.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Частичное заполнение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Два и более обязательных полей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Заполнено только первое поле — отправка должна отклоняться.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Создание записи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«Добавить» (I)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Заполнение полей и сохранение; проверка появления записи.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Изменение записи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«Сохранить» (U)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Изменение значения существующей записи.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Удаление записи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Действие «Удалить» (D)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Удаление записи из таблицы.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Лог. изменение / архив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Действия E / A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Сохранение изменения с историей; перевод в архив.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Поиск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Есть связанный поиск с параметрами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Заполнение параметров и выполнение поиска.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Проверка грида</w:t>
            </w:r>
          </w:p>
        </w:tc>
        <w:tc>
          <w:tcPr>
            <w:tcW w:type="dxa" w:w="3005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Есть вкладка-грид</w:t>
            </w:r>
          </w:p>
        </w:tc>
        <w:tc>
          <w:tcPr>
            <w:tcW w:type="dxa" w:w="4082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Отображение колонок и кнопок табличного представления.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Запуск сгенерированных тестов выполняется средствами системы сборки Maven в стандартной фазе выполнения тестов через подключаемый модуль Surefire, который выполняет тесты и формирует отчёты в формате XML. Тесты управляют реальным браузером через Selenium WebDriver: вход в систему и выбор подсистемы выполняются один раз общим драйвером и переиспользуются, после чего для каждой сущности выполняются навигация и проверки с сохранением снимков экрана по шагам. Запускается весь сгенерированный набор тестов.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Анализ результатов (рисунок 11) состоит в чтении XML-отчётов тем же потоковым методом, что и при разборе модели, извлечении из них статусов тестов (успех, отказ, пропуск), сообщений об ошибках и длительностей. По извлечённым данным формируется агрегированная статистика прогона; снимки экрана сопоставляются с соответствующими тест-кейсами по соглашению об именах файлов. Итоги выгружаются в автономные отчёты и сохраняются в базе отчётов для просмотра истории прогонов. Перечень формируемых артефактов приведён в таблице 13.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520000" cy="42375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_9_run_analyz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237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Рисунок 11 – Алгоритм запуска тестов и анализа результатов</w:t>
      </w:r>
    </w:p>
    <w:p>
      <w:pPr>
        <w:spacing w:before="160"/>
        <w:jc w:val="righ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13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Артефакты запуска и отчётности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Артефакт</w:t>
            </w:r>
          </w:p>
        </w:tc>
        <w:tc>
          <w:tcPr>
            <w:tcW w:type="dxa" w:w="6803"/>
            <w:shd w:val="clear" w:color="auto" w:fill="D9D9D9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Содержание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XML-отчёты Surefire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Машиночитаемые результаты по тест-классам; разбираются для построения сводки.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HTML-отчёт прогона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Автономный отчёт со сводкой, шагами и снимками экрана.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CSV-выгрузка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Результаты по тест-кейсам в табличном виде для дальнейшей обработки.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Снимки экрана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Покадровая запись хода проверок (по шагам каждого теста).</w:t>
            </w:r>
          </w:p>
        </w:tc>
      </w:tr>
      <w:tr>
        <w:tc>
          <w:tcPr>
            <w:tcW w:type="dxa" w:w="2551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База отчётов (SQLite)</w:t>
            </w:r>
          </w:p>
        </w:tc>
        <w:tc>
          <w:tcPr>
            <w:tcW w:type="dxa" w:w="6803"/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История прогонов: сведения о запуске и результаты отдельных тест-кейсов.</w:t>
            </w:r>
          </w:p>
        </w:tc>
      </w:tr>
    </w:tbl>
    <w:p>
      <w:pPr>
        <w:spacing w:after="40"/>
      </w:pP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хранения истории прогонов применяется встраиваемая СУБД SQLite, не требующая отдельного серверного процесса; база располагается в одном файле и создаётся автоматически при первом запуске. В неё сохраняются сведения о каждом прогоне (дата, исходный файл, итоговые показатели) и результаты отдельных тест-кейсов, что позволяет сравнивать прогоны и отслеживать динамику.</w:t>
      </w:r>
    </w:p>
    <w:p>
      <w:pPr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Таким образом, для решения поставленной задачи выбраны и обоснованы следующие методы и алгоритмы: потоковый разбор XML-модели (StAX) как наиболее экономичный и управляемый способ чтения метамодели; классификация сущностей по доступности из интерфейса, исключающая бессмысленные тесты; шаблонная генерация тестового проекта с организацией тестов по паттерну Page Object, изолирующему специфику платформы E3Core; подбор тестовых данных по типу и маске с обеспечением воспроизводимости; запуск тестов средствами Maven Surefire с последующим разбором отчётов и сохранением истории. Совокупность этих методов образует воспроизводимый конвейер преобразования XML-метамодели в выполненные автотесты. Проектирование структур данных и классов, реализующих описанные алгоритмы, выполняется в последующих разделах (1.4–1.5).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