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 Выбор стратегии тестирования, разработка тестов, программа и методика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1.7.1 Объект и цель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Объектом испытаний является информационная система автоматической генерации UI-автотестов веб-приложений на платформе E3Core (AutoTestGenerator), а также порождаемый ею Maven-проект автотестов. Цели испытаний: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проверка соответствия разработанной программы требованиям технического задания (Приложение 1);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выявление и устранение ошибок, допущенных при реализации;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подтверждение работоспособности системы на эталонной XML-метамодели подсистемы E3Core.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 Требования к информационному, аппаратно-программному обеспечению и документации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1.7.2.1 Требования к функциональным характеристикам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представляет собой настольное приложение на языке Java SE 17 с графическим интерфейсом на JavaFX и реализует следующие функции: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разбор XML-метамодели формата E3Core потоковым парсером StAX с поддержкой XML-пространств имён (NS_E, NS_E3, NS_MD);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транслитерация русских имён сущностей в корректные Java-идентификаторы;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классификация сущностей модели на категории PRIMARY (основная), CHILD (дочерняя), REFERENCE_DICTIONARY (справочник);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генерация Maven-проекта автотестов: pom.xml, общие классы (SharedDriver, BaseTest, TestData), Page Object и тестовый класс на JUnit 5 для каждой тестируемой сущности (PRIMARY и CHILD), а также CSV-отчёт о классификации сущностей;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генерация для каждой сущности полного набора UI-проверок: наличие полей формы, валидация обязательных полей (полная и частичная), создание/изменение/удаление (CRUD), логическое удаление и архивирование (при наличии операций), параметрический поиск и проверка гридов;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запуск сгенерированных тестов через mvn test, с возможностью выбора подмножества тестов (по сущностям и видам проверок) и быстрого (headless) режима;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сбор результатов из XML-отчётов Surefire потоковым StAX-парсером;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сохранение истории прогонов в локальную базу данных SQLite;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отображение истории прогонов в графическом интерфейсе;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формирование пользовательского HTML-отчёта с фотолетописью (скриншоты на каждом шаге теста) и CSV-выгрузки.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1.7.2.2 Требования к надёжности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разрабатываемому программному обеспечению предъявляются следующие требования к надёжности: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защита от некорректных действий оператора и ошибочных исходных данных;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ошибке разбора XML формируется исключение ParserException с понятным сообщением, программа не завершается аварийно;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сохранение результатов прогона выполняется в рамках одной транзакции: записи фиксируются (commit) только при успешном завершении, иначе незафиксированные данные не сохраняются;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сбое записи в базу данных программа продолжает работу без сохранения истории прогона (graceful degradation), а ошибка протоколируется;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отсутствии установленного Apache Maven прогон тестов не запускается и выводится сообщение об ошибке; драйвер браузера (ChromeDriver) загружается автоматически;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все открытые файловые потоки и JDBC-соединения освобождаются через try-with-resources;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локальная база данных истории создаётся при первом запуске и сохраняется между запусками.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1.7.2.3 Требования к условиям эксплуатации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работы программы потребуется: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комплект разработки JDK Java SE 17 или новее;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система сборки Apache Maven версии 3.8 и выше;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браузер Google Chrome актуальной версии.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Пользователь должен обладать базовыми знаниями операционной системы и принципов автоматизированного тестирования веб-приложений на платформе E3Core. Ему будет предложен графический интерфейс программы, который содержит следующие экранные формы: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главное окно с панелью параметров (XML-файл метамодели, URL сайта, логин, пароль, каталог вывода, режим headless);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дерево сущностей метамодели с результатами классификации (PRIMARY, CHILD, REFERENCE_DICTIONARY);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таблица результатов прогона тестов (класс, метод, статус, длительность);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форма выбора сущностей и видов проверок для запуска;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журнал (история) прогонов.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1.7.2.4 Требования к составу и параметрам технических средств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Компьютер, на котором будет установлена система, должен обладать следующими характеристиками: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процессор с тактовой частотой не менее 2 ГГц;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объём оперативной памяти не менее 4 ГБ (рекомендуется 8 ГБ);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объём свободного пространства на жёстком диске не менее 2 ГБ;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монитор, поддерживающий разрешение не менее 1024×768 точек;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установленные JDK Java SE 17 или новее, Apache Maven 3.8 и выше, браузер Google Chrome.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1.7.2.5 Требования к информационной и программной совместимости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разрабатывается на языке Java 17+ с использованием Apache Maven, JUnit 5 и Selenium WebDriver. Формат входных данных — XML (метамодель E3Core); форматы выходных данных — исходные Java-классы тестового проекта и отчёты XML (Surefire), HTML и CSV.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1.7.2.6 Требования к программной документации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Программная документация должна соответствовать требованиям ЕСПД, а схемы и диаграммы — требованиям соответствующих ГОСТ.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1.7.3 Состав, порядок и методы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 разработанного программного обеспечения проводилось в соответствии со следующим комплексом мероприятий: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проверка программной документации на соответствие требованиям ЕСПД методом ручного контроля;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автономное тестирование разработанных модулей;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комплексное тестирование межмодульных интерфейсов;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системное тестирование на соответствие требованиям технического задания (Приложение 1).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Все виды испытаний (автономное, комплексное и системное) проводились на персональном компьютере с минимальными характеристиками, предусмотренными техническим заданием (п. 1.7.2.4): процессор с тактовой частотой 2 ГГц, оперативная память 4 ГБ, свободное место на диске 2 ГБ, монитор с разрешением 1024×768, операционная система Windows 10; установлены JDK Java SE 17, Apache Maven 3.8 и браузер Google Chrome. Проведение испытаний на минимально допустимой конфигурации подтверждает работоспособность системы в граничных условиях эксплуатации.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проверки документации применялся метод ручного контроля (проверка «за столом»). При автономном тестировании модулей использовался метод граничных значений; при проверке функциональных возможностей — метод контрольных примеров. Комплексное тестирование проверяло взаимодействие модулей по межмодульным интерфейсам, системное — функционирование системы в целом на соответствие ТЗ.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1.7.4 Результаты проведения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результате проверки программной документации методом ручного контроля исправлены найденные грамматические и пунктуационные ошибки, проверено соответствие документации требованиям ЕСПД. Результаты автономного, комплексного и системного тестирования приведены в таблицах 132–134.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автономного тестирования модулей (метод граничных значений)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077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3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32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App: загрузка FXML-разметки главного окна и инициализация графического интерфейса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Главное окно отображается, обработчики событий подключены, приложение готово к работе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MainController: проверка ввода параметров, в том числе обработка пустых и некорректных значений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При отсутствии обязательных параметров выводится сообщение, операция не запускается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XmlModelParser: разбор корректного XML-файла, файла без сущностей и файла с ошибкой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Для корректного файла построена объектная модель, для пустого — модель без сущностей, при ошибке формируется исключение ParserException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EntityParser: разбор блока сущности с группами свойств и ассоциациями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Сформирован объект сущности с группами свойств и связями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PropertyGroupParser: разбор группы свойств с полями и операцией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Сформирована группа свойств с полями и операцией (создание, изменение, удаление)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SearchParser: разбор блока поиска с параметрами и колонками результата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Сформирован список поисков с параметрами и описанием колонок грида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StaxUtils: чтение отсутствующего атрибута и преобразование нечислового значения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Возвращены пустая строка и ноль соответственно, без выброса исключения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XmlNamespaces: проверка значений констант пространств имён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Значения констант совпадают с пространствами имён в XML-файле метамодели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EntityClassifier: классификация справочника, дочерней и основной сущности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Сущности отнесены к категориям REFERENCE_DICTIONARY, CHILD и PRIMARY соответственно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TestConfig: сохранение и чтение параметров генерации (адрес сайта, логин, каталог вывода и др.)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Все параметры сохраняются и считываются без искажений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TestGenerator: управление процессом генерации тестового проекта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Созданы файл сборки pom.xml, общие классы, Page Object и тест-классы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PageObjectWriter: формирование Page Object для основной сущности и пропуск сущности без полей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Для основной сущности создан Page Object с элементами формы, для сущности без полей класс не создаётся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TestClassWriter: формирование тест-класса JUnit 5 для основной сущности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Создан тест-класс с полным набором проверок (наличие полей, валидация, операции CRUD, поиск)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TestDataFactory: формирование тестовых значений по маске и типу поля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Сформированы корректные значения (число заданной длины, правильная дата); результат детерминирован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TestRunner: разбор XML-отчёта Surefire и подсчёт результатов прогона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Получена сводка «всего/успешно/провалено», процесс корректно завершается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RunReportWriter: формирование HTML-отчёта со скриншотами и CSV-выгрузки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Сформированы HTML-отчёт с фотолетописью шагов и CSV-файл с результатами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Transliterator: преобразование русских имён в идентификаторы языка Java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Кириллические имена преобразованы в корректные (валидные) Java-идентификаторы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Модуль ReportDao: сохранение прогона и чтение истории прогонов из базы данных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Прогон сохранён в базе данных и считан обратно без потерь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комплексного тестирования межмодульных связей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077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3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32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 → MainController: загрузка FXML главного окна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Окно отображается, обработчики событий привязаны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XmlModelParser: XML-файл → AppModel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построена, дерево сущностей показано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TestConfig: параметры формы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Сформирован объект конфигурации генерации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TestGenerator: AppModel, TestConfig, путь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 Maven-проект автотестов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TestRunner: outputDir, фильтр, fastMode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тестов запущен (сцепление по управлению)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ReportDao: RunResult / запрос истории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сохранён, история получена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 → EntityParser: XMLStreamReader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Сущности (EntityObject) разобраны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 → SearchParser: XMLStreamReader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поисков (Search) разобран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EntityParser → PropertyGroupParser: XMLStreamReader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Группы свойств (PropertyGroup) разобраны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EntityParser → StaxUtils: чтение атрибутов/чисел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Возвращены безопасные значения (общее сцепление)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EntityClassifier: EntityObject, AppModel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Категория PRIMARY/CHILD/REFERENCE_DICTIONARY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PageObjectWriter: EntityObject, TestConfig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 класс Page Object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TestClassWriter: EntityObject, AppModel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 тест-класс JUnit 5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TestDataFactory: маска, тип поля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Получено тестовое значение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generated-tests: запись на диск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Java-файлы тестов и pom.xml записаны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TestRunner → generated-tests: чтение отчётов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Surefire-отчёты XML прочитаны после прогона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системного тестирования на соответствие требованиям ТЗ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077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3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32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Разбор XML-метамодели формата E3Core потоковым парсером StAX с поддержкой пространств имён NS_E, NS_E3 и NS_MD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Эталонная метамодель подсистемы E3Core полностью разобрана в объектную модель (AppModel): сущности, свойства, операции и поиски извлечены корректно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Транслитерация русских имён сущностей и атрибутов в идентификаторы языка Java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Имена преобразованы в корректные (валидные) Java-идентификаторы без потери уникальности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Классификация сущностей модели по категориям PRIMARY, CHILD и REFERENCE_DICTIONARY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Каждая сущность отнесена к верной категории; результат отражён в дереве сущностей и CSV-отчёте о классификации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Генерация Maven-проекта автотестов: pom.xml, общие классы, Page Object и тест-класс JUnit 5 для каждой PRIMARY-сущности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В каталоге вывода создан компилируемый Maven-проект с pom.xml, общими классами и Page Object / тест-классом для каждой PRIMARY-сущности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Генерация полного набора UI-проверок: наличие полей формы, валидация обязательных полей, создание/изменение/удаление (CRUD), логическое удаление и архивирование, параметрический поиск и проверка гридов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Запуск сгенерированных автотестов через команду mvn test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Прогон автотестов запускается и выполняется до завершения; формируются XML-отчёты Surefire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Сбор результатов прогона из XML-отчётов Surefire потоковым парсером StAX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Сохранение истории прогонов в локальную базу данных SQLite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Отображение истории прогонов в графическом интерфейсе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В журнале прогонов выведены все ранее сохранённые прогоны с их показателями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Формирование пользовательского HTML-отчёта с фотолетописью (скриншоты на каждом шаге теста) и CSV-выгрузки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Сформированы HTML-отчёт со скриншотами шагов и CSV-файл с результатами прогона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Обработка ошибки разбора некорректного XML-файла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Формируется исключение ParserException с понятным сообщением; программа не завершается аварийно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Сохранение результатов прогона в рамках одной транзакции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При успешном завершении записи фиксируются (commit); при ошибке незафиксированные данные не сохраняются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Поведение при сбое записи в базу данных (graceful degradation)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Программа продолжает работу без сохранения истории прогона, ошибка протоколируется, сформированные отчёты остаются доступны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Запуск прогона тестов при отсутствии установленного Apache Maven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Прогон не запускается, выводится понятное сообщение об ошибке; драйвер браузера (ChromeDriver) загружается автоматически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Освобождение ресурсов после выполнения операций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Все открытые файловые потоки и JDBC-соединения закрываются через try-with-resources; утечек ресурсов нет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Сохранность локальной базы данных истории между запусками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База данных создаётся при первом запуске и сохраняется между сеансами; история прогонов не теряется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Совместимость с программной средой: Java SE 17 и новее, Apache Maven, JUnit 5, Selenium WebDriver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Сборка и прогон сгенерированных автотестов выполняются в указанной среде без ошибок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Приём входных данных в формате XML (метамодель E3Core)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XML-метамодель принимается на вход и корректно обрабатывается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>
              <w:t>Формирование выходных данных в форматах: Java-классы тестового проекта, отчёты XML (Surefire), HTML и CSV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>
              <w:t>Все выходные артефакты формируются в предусмотренных форматах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результатам проведённых испытаний разработанная информационная система AutoTestGenerator соответствует всем требованиям технического задания (Приложение 1). Автономное тестирование подтвердило корректность работы модулей всех пакетов; комплексное тестирование показало, что все межмодульные связи и сквозной сценарий (разбор → классификация → генерация → запуск → сохранение результатов) выполняются согласованно; системное тестирование подтвердило выполнение функциональных требований, требований к надёжности и совместимости. Программа признана работоспособной и готовой к опытной эксплуатации.</w:t>
      </w:r>
    </w:p>
    <w:p>
      <w:r>
        <w:br w:type="page"/>
      </w:r>
    </w:p>
    <w:p w:rsidR="001A7A7E" w:rsidRPr="00F600DA" w:rsidRDefault="00BF5CFA" w:rsidP="00BF5CFA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F600DA">
        <w:rPr>
          <w:color w:val="000000"/>
          <w:sz w:val="28"/>
          <w:szCs w:val="28"/>
        </w:rPr>
        <w:br w:type="page"/>
      </w:r>
      <w:bookmarkStart w:id="135" w:name="_Toc220052708"/>
      <w:bookmarkStart w:id="136" w:name="_Toc230578461"/>
      <w:bookmarkStart w:id="137" w:name="_Toc230947233"/>
      <w:bookmarkStart w:id="138" w:name="_Toc232053365"/>
      <w:r w:rsidR="00CD1D5E" w:rsidRPr="00F600DA">
        <w:rPr>
          <w:rFonts w:eastAsia="PMingLiU"/>
          <w:sz w:val="28"/>
          <w:szCs w:val="20"/>
        </w:rPr>
        <w:lastRenderedPageBreak/>
        <w:t>Приложение 1</w:t>
      </w:r>
      <w:bookmarkEnd w:id="135"/>
      <w:bookmarkEnd w:id="136"/>
      <w:bookmarkEnd w:id="137"/>
      <w:bookmarkEnd w:id="138"/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Техническое задание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МИНОБРАНАУКИ РОССИИ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Федеральное государственное бюджетное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образовательное учреждение высшего образования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«ЧЕРЕПОВЕЦКИЙ ГОСУДАРСТВЕННЫЙ УНИВЕРСИТЕТ»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 xml:space="preserve">Институт информационных технологий </w:t>
      </w:r>
    </w:p>
    <w:p w:rsidR="001A7A7E" w:rsidRPr="00F600DA" w:rsidRDefault="001A7A7E" w:rsidP="001A7A7E">
      <w:pPr>
        <w:widowControl w:val="0"/>
        <w:jc w:val="center"/>
        <w:rPr>
          <w:sz w:val="20"/>
        </w:rPr>
      </w:pPr>
      <w:r w:rsidRPr="00F600DA">
        <w:rPr>
          <w:sz w:val="20"/>
        </w:rPr>
        <w:t>наименование института (факультета)</w:t>
      </w: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>Кафедра математического и программного обеспечения ЭВМ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0"/>
        </w:rPr>
        <w:t>наименование кафедры</w:t>
      </w: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УТВЕРЖДАЮ </w:t>
      </w:r>
    </w:p>
    <w:p w:rsidR="001A7A7E" w:rsidRPr="00F600DA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Зав. кафедрой </w:t>
      </w:r>
      <w:r w:rsidRPr="00F600DA">
        <w:rPr>
          <w:color w:val="0D0D0D"/>
          <w:sz w:val="28"/>
          <w:szCs w:val="28"/>
        </w:rPr>
        <w:t>МПО ЭВМ</w:t>
      </w:r>
      <w:r w:rsidRPr="00F600DA">
        <w:rPr>
          <w:color w:val="000000"/>
          <w:sz w:val="28"/>
          <w:szCs w:val="28"/>
        </w:rPr>
        <w:t xml:space="preserve">,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д. т.н., профессор __________ Ершов Е.В.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«___» _____________ 2026 г. 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F600DA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F600DA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F600DA">
        <w:rPr>
          <w:rFonts w:eastAsia="PMingLiU"/>
          <w:color w:val="000000"/>
          <w:sz w:val="28"/>
          <w:szCs w:val="20"/>
        </w:rPr>
        <w:t xml:space="preserve"> для </w:t>
      </w:r>
      <w:r w:rsidRPr="00F600DA">
        <w:rPr>
          <w:rFonts w:eastAsia="PMingLiU"/>
          <w:color w:val="000000"/>
          <w:sz w:val="28"/>
          <w:szCs w:val="20"/>
          <w:lang w:val="en-US"/>
        </w:rPr>
        <w:t>web</w:t>
      </w:r>
      <w:r w:rsidRPr="00F600DA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F600DA">
        <w:rPr>
          <w:rFonts w:eastAsia="PMingLiU"/>
          <w:color w:val="000000"/>
          <w:sz w:val="28"/>
          <w:szCs w:val="20"/>
          <w:lang w:val="en-US"/>
        </w:rPr>
        <w:t>xml</w:t>
      </w:r>
      <w:r w:rsidRPr="00F600DA">
        <w:rPr>
          <w:rFonts w:eastAsia="PMingLiU"/>
          <w:color w:val="000000"/>
          <w:sz w:val="28"/>
          <w:szCs w:val="20"/>
        </w:rPr>
        <w:t>-</w:t>
      </w:r>
      <w:r w:rsidR="001906D1">
        <w:rPr>
          <w:rFonts w:eastAsia="PMingLiU"/>
          <w:color w:val="000000"/>
          <w:sz w:val="28"/>
          <w:szCs w:val="20"/>
        </w:rPr>
        <w:t>файла</w:t>
      </w:r>
      <w:r w:rsidRPr="00F600DA">
        <w:rPr>
          <w:rFonts w:eastAsia="PMingLiU"/>
          <w:color w:val="000000"/>
          <w:sz w:val="28"/>
          <w:szCs w:val="20"/>
        </w:rPr>
        <w:t xml:space="preserve"> </w:t>
      </w:r>
    </w:p>
    <w:p w:rsidR="001A7A7E" w:rsidRPr="00F600DA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:rsidR="001A7A7E" w:rsidRPr="00F600DA" w:rsidRDefault="001A7A7E" w:rsidP="001A7A7E">
      <w:pPr>
        <w:widowControl w:val="0"/>
        <w:jc w:val="center"/>
        <w:rPr>
          <w:sz w:val="28"/>
          <w:szCs w:val="28"/>
        </w:rPr>
      </w:pPr>
      <w:r w:rsidRPr="00F600DA">
        <w:rPr>
          <w:sz w:val="28"/>
          <w:szCs w:val="28"/>
        </w:rPr>
        <w:t xml:space="preserve">Листов </w:t>
      </w:r>
      <w:r w:rsidR="003C171D">
        <w:rPr>
          <w:sz w:val="28"/>
          <w:szCs w:val="28"/>
        </w:rPr>
        <w:t>7</w:t>
      </w:r>
    </w:p>
    <w:p w:rsidR="001A7A7E" w:rsidRPr="00F600DA" w:rsidRDefault="001A7A7E" w:rsidP="001A7A7E">
      <w:pPr>
        <w:widowControl w:val="0"/>
        <w:jc w:val="center"/>
      </w:pPr>
    </w:p>
    <w:p w:rsidR="001A7A7E" w:rsidRPr="00F600DA" w:rsidRDefault="001A7A7E" w:rsidP="001A7A7E">
      <w:pPr>
        <w:widowControl w:val="0"/>
        <w:jc w:val="center"/>
      </w:pPr>
    </w:p>
    <w:p w:rsidR="001906D1" w:rsidRDefault="001906D1" w:rsidP="001906D1">
      <w:pPr>
        <w:widowControl w:val="0"/>
        <w:jc w:val="right"/>
      </w:pPr>
    </w:p>
    <w:p w:rsidR="001A7A7E" w:rsidRPr="00F600DA" w:rsidRDefault="001A7A7E" w:rsidP="003C171D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 xml:space="preserve">Руководитель: </w:t>
      </w:r>
      <w:r w:rsidR="003C171D" w:rsidRPr="003C171D">
        <w:rPr>
          <w:sz w:val="28"/>
          <w:szCs w:val="28"/>
        </w:rPr>
        <w:t>Гонтарева И.Б.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Исполнитель: студент гр. 1ИСб-01-1оп-22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Столбов Н.А.</w:t>
      </w:r>
    </w:p>
    <w:p w:rsidR="001A7A7E" w:rsidRPr="00F600DA" w:rsidRDefault="001A7A7E" w:rsidP="001A7A7E">
      <w:pPr>
        <w:widowControl w:val="0"/>
        <w:rPr>
          <w:sz w:val="28"/>
          <w:szCs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F15756" w:rsidRPr="00BF5CFA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F600DA">
        <w:rPr>
          <w:sz w:val="28"/>
        </w:rPr>
        <w:t>Череповец, 2026 г.</w:t>
      </w: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39" w:name="_Toc227241621"/>
      <w:bookmarkStart w:id="140" w:name="_Toc227589608"/>
      <w:r w:rsidRPr="00F600DA">
        <w:rPr>
          <w:rFonts w:eastAsia="Calibri"/>
          <w:color w:val="000000" w:themeColor="text1"/>
          <w:sz w:val="28"/>
          <w:szCs w:val="28"/>
        </w:rPr>
        <w:t>Введение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</w:t>
      </w:r>
      <w:r w:rsidR="00701B5B">
        <w:rPr>
          <w:rFonts w:eastAsia="MS Mincho"/>
          <w:color w:val="000000" w:themeColor="text1"/>
          <w:sz w:val="28"/>
          <w:szCs w:val="28"/>
        </w:rPr>
        <w:t>ия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".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F600DA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>
        <w:rPr>
          <w:rFonts w:eastAsia="Calibri"/>
          <w:color w:val="000000" w:themeColor="text1"/>
          <w:sz w:val="28"/>
          <w:szCs w:val="28"/>
        </w:rPr>
        <w:t>авто</w:t>
      </w:r>
      <w:r w:rsidRPr="00F600DA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Calibri"/>
          <w:color w:val="000000" w:themeColor="text1"/>
          <w:sz w:val="28"/>
          <w:szCs w:val="28"/>
        </w:rPr>
        <w:t>-приложени</w:t>
      </w:r>
      <w:r w:rsidR="00701B5B">
        <w:rPr>
          <w:rFonts w:eastAsia="Calibri"/>
          <w:color w:val="000000" w:themeColor="text1"/>
          <w:sz w:val="28"/>
          <w:szCs w:val="28"/>
        </w:rPr>
        <w:t>я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-</w:t>
      </w:r>
      <w:r w:rsidR="00701B5B">
        <w:rPr>
          <w:rFonts w:eastAsia="Calibri"/>
          <w:color w:val="000000" w:themeColor="text1"/>
          <w:sz w:val="28"/>
          <w:szCs w:val="28"/>
        </w:rPr>
        <w:t>файла</w:t>
      </w:r>
      <w:r w:rsidRPr="00F600DA">
        <w:rPr>
          <w:rFonts w:eastAsia="Calibri"/>
          <w:color w:val="000000" w:themeColor="text1"/>
          <w:sz w:val="28"/>
          <w:szCs w:val="28"/>
        </w:rPr>
        <w:t>»</w:t>
      </w:r>
      <w:r w:rsidR="00E12303"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:rsidR="00DD0743" w:rsidRPr="00F600DA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-приложени</w:t>
      </w:r>
      <w:r w:rsidR="00701B5B">
        <w:rPr>
          <w:rFonts w:eastAsia="MS Mincho"/>
          <w:color w:val="000000" w:themeColor="text1"/>
          <w:sz w:val="28"/>
          <w:szCs w:val="28"/>
        </w:rPr>
        <w:t>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Система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>Формировать отчёты о результатах тестирования.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 Требования к разработке</w:t>
      </w:r>
    </w:p>
    <w:p w:rsidR="00DD0743" w:rsidRPr="00F600DA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3.1 Требования к функциональным характеристикам</w:t>
      </w:r>
    </w:p>
    <w:p w:rsidR="00DD0743" w:rsidRPr="00F600DA" w:rsidRDefault="00DD0743" w:rsidP="003D6DC1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proofErr w:type="gramStart"/>
      <w:r>
        <w:rPr>
          <w:sz w:val="28"/>
        </w:rPr>
        <w:t>StAX</w:t>
      </w:r>
      <w:proofErr w:type="spellEnd"/>
      <w:r>
        <w:rPr>
          <w:sz w:val="28"/>
        </w:rPr>
        <w:t xml:space="preserve">  и</w:t>
      </w:r>
      <w:proofErr w:type="gramEnd"/>
      <w:r>
        <w:rPr>
          <w:sz w:val="28"/>
        </w:rPr>
        <w:t xml:space="preserve"> поддержкой трёх XML-</w:t>
      </w:r>
      <w:proofErr w:type="spellStart"/>
      <w:r>
        <w:rPr>
          <w:sz w:val="28"/>
        </w:rPr>
        <w:t>неймспейсов</w:t>
      </w:r>
      <w:proofErr w:type="spellEnd"/>
      <w:r>
        <w:rPr>
          <w:sz w:val="28"/>
        </w:rPr>
        <w:t xml:space="preserve"> (NS_E, NS_E3, NS_MD);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Maven-проекта автотестов: pom.xml, общие классы (SharedDriver, BaseTest, TestData), Page Object и тестовый класс на JUnit 5 для каждой тестируемой сущности (основной PRIMARY и дочерней CHILD), а также CSV-отчёт о классификации сущностей;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r w:rsidRPr="00EA6A9C">
        <w:rPr>
          <w:sz w:val="28"/>
        </w:rPr>
      </w:r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для каждой тестируемой сущности полного набора UI-проверок: наличие полей формы, валидация обязательных полей (полная и частичная),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гридов;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запуск сгенерированных тестов через mvn test, с возможностью выбора подмножества тестов (по сущностям и видам проверок) и быстрого (headless) режима выполнения;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сбор результатов из XML-отчётов </w:t>
      </w:r>
      <w:proofErr w:type="spellStart"/>
      <w:r>
        <w:rPr>
          <w:sz w:val="28"/>
        </w:rPr>
        <w:t>Surefire</w:t>
      </w:r>
      <w:proofErr w:type="spellEnd"/>
      <w:r>
        <w:rPr>
          <w:sz w:val="28"/>
        </w:rPr>
        <w:t xml:space="preserve"> через потоковый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-парсер;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1A7A7E" w:rsidRPr="00651C74" w:rsidRDefault="001A7A7E" w:rsidP="001A7A7E">
      <w:pPr>
        <w:spacing w:line="360" w:lineRule="auto"/>
        <w:jc w:val="both"/>
        <w:rPr>
          <w:color w:val="000000" w:themeColor="text1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</w:t>
      </w:r>
      <w:r w:rsidR="003D6DC1">
        <w:rPr>
          <w:color w:val="000000" w:themeColor="text1"/>
          <w:sz w:val="28"/>
          <w:szCs w:val="28"/>
        </w:rPr>
        <w:t>2</w:t>
      </w:r>
      <w:r w:rsidRPr="00F600DA">
        <w:rPr>
          <w:color w:val="000000" w:themeColor="text1"/>
          <w:sz w:val="28"/>
          <w:szCs w:val="28"/>
        </w:rPr>
        <w:t xml:space="preserve"> Требования к надёжности</w:t>
      </w:r>
    </w:p>
    <w:p w:rsidR="00DD0743" w:rsidRPr="00F600DA" w:rsidRDefault="00DD0743" w:rsidP="00DD0743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lastRenderedPageBreak/>
        <w:t>система должна иметь защиту от некорректных действий оператора и ошибочных исходных данных;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9243D6">
        <w:rPr>
          <w:sz w:val="28"/>
        </w:rPr>
        <w:t>ParserException</w:t>
      </w:r>
      <w:proofErr w:type="spellEnd"/>
      <w:r>
        <w:rPr>
          <w:sz w:val="28"/>
        </w:rPr>
        <w:t xml:space="preserve"> с понятным сообщением и не завершаться </w:t>
      </w:r>
      <w:proofErr w:type="spellStart"/>
      <w:r>
        <w:rPr>
          <w:sz w:val="28"/>
        </w:rPr>
        <w:t>аварийно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выполняется в рамках одной транзакции: записи фиксируются (commit) только при успешном завершении, иначе незафиксированные данные не сохраняются;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прогона (graceful degradation), а возникшая ошибка — протоколироваться;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отсутствии установленного Apache Maven прогон тестов не запускается и выводится сообщение об ошибке; драйвер браузера (ChromeDriver) загружается автоматически;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>
        <w:rPr>
          <w:sz w:val="28"/>
        </w:rPr>
        <w:t>try-with-resources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3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Условия эксплуатации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работы программы потребуется: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комплект разработки JDK Java SE 17 или новее;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система сборки Apache Maven версии 3.8 и выше;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браузер Google Chrome актуальной версии.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sz w:val="28"/>
        </w:rPr>
        <w:t>Пользователь должен обладать базовыми знаниями операционной системы и принципов автоматизированного тестирования веб-приложений на платформе E3Core. Ему будет предложен графический интерфейс программы, который содержит следующие экранные формы: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главное окно с панелью параметров (XML-файл метамодели, URL сайта, логин, пароль, каталог вывода, режим headless);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дерево сущностей метамодели с результатами классификации (PRIMARY, CHILD, REFERENCE_DICTIONARY);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таблица результатов прогона тестов (класс, метод, статус, длительность);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форма выбора сущностей и видов проверок для запуска;</w:t>
      </w:r>
    </w:p>
    <w:p>
      <w:pPr>
        <w:spacing w:line="360" w:lineRule="auto"/>
        <w:ind w:left="709" w:hanging="283"/>
        <w:jc w:val="both"/>
      </w:pPr>
      <w:r>
        <w:rPr>
          <w:rFonts w:ascii="Times New Roman" w:hAnsi="Times New Roman" w:eastAsia="Times New Roman"/>
          <w:sz w:val="28"/>
        </w:rPr>
        <w:t>•</w:t>
      </w:r>
      <w:r>
        <w:rPr>
          <w:rFonts w:ascii="Times New Roman" w:hAnsi="Times New Roman" w:eastAsia="Times New Roman"/>
          <w:sz w:val="28"/>
        </w:rPr>
        <w:tab/>
        <w:t>журнал (история) прогонов.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4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Минимальная конфигурация: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Процессор с тактовой частотой не менее 2 ГГц.</w:t>
      </w:r>
      <w:r w:rsidR="003D6DC1">
        <w:rPr>
          <w:rFonts w:eastAsia="Calibri"/>
          <w:color w:val="000000" w:themeColor="text1"/>
          <w:sz w:val="28"/>
          <w:szCs w:val="28"/>
        </w:rPr>
      </w:r>
      <w:r w:rsidR="003D6DC1" w:rsidRPr="003D6DC1">
        <w:rPr>
          <w:rFonts w:eastAsia="Calibri"/>
          <w:color w:val="000000" w:themeColor="text1"/>
          <w:sz w:val="28"/>
          <w:szCs w:val="28"/>
        </w:rPr>
      </w:r>
      <w:r w:rsidRPr="00F600DA">
        <w:rPr>
          <w:rFonts w:eastAsia="Calibri"/>
          <w:color w:val="000000" w:themeColor="text1"/>
          <w:sz w:val="28"/>
          <w:szCs w:val="28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ОЗУ не менее 4 ГБ (рекомендуется 8 ГБ).</w:t>
      </w:r>
      <w:r w:rsidR="003D6DC1">
        <w:rPr>
          <w:rFonts w:eastAsia="Calibri"/>
          <w:color w:val="000000" w:themeColor="text1"/>
          <w:sz w:val="28"/>
          <w:szCs w:val="28"/>
        </w:rPr>
      </w:r>
      <w:r w:rsidRPr="00F600DA">
        <w:rPr>
          <w:rFonts w:eastAsia="Calibri"/>
          <w:color w:val="000000" w:themeColor="text1"/>
          <w:sz w:val="28"/>
          <w:szCs w:val="28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жёсткого диска не менее 2 ГБ.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Монитор, поддерживающий разрешение не менее 1024×768 точек.</w:t>
      </w:r>
    </w:p>
    <w:p w:rsidR="00DD0743" w:rsidRPr="00F600DA" w:rsidRDefault="00DD0743" w:rsidP="00DD0743">
      <w:pPr>
        <w:tabs>
          <w:tab w:val="left" w:pos="420"/>
        </w:tabs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5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Программное обеспечение должно быть разработано с использованием: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 17+.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Maven.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JUnit 5.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Selenium.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формат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входных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данных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: XML.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формат выходных данных: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-классы, отчёты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/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HTML</w:t>
      </w:r>
      <w:r w:rsidR="00CB0EF6" w:rsidRPr="00CB0EF6">
        <w:rPr>
          <w:rFonts w:eastAsia="Calibri"/>
          <w:color w:val="000000" w:themeColor="text1"/>
          <w:sz w:val="28"/>
          <w:szCs w:val="28"/>
        </w:rPr>
        <w:t>/</w:t>
      </w:r>
      <w:r w:rsidR="00CB0EF6">
        <w:rPr>
          <w:rFonts w:eastAsia="Calibri"/>
          <w:color w:val="000000" w:themeColor="text1"/>
          <w:sz w:val="28"/>
          <w:szCs w:val="28"/>
          <w:lang w:val="en-US"/>
        </w:rPr>
        <w:t>CSV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CB0EF6" w:rsidRDefault="00DD074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3.6. Требования к маркировке и упаковке</w:t>
      </w:r>
    </w:p>
    <w:p w:rsidR="00CB0EF6" w:rsidRPr="00742BDE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742BDE">
        <w:rPr>
          <w:sz w:val="28"/>
          <w:szCs w:val="28"/>
          <w:lang w:val="en-US"/>
        </w:rPr>
        <w:t>USB</w:t>
      </w:r>
      <w:r w:rsidRPr="00742BDE">
        <w:rPr>
          <w:sz w:val="28"/>
          <w:szCs w:val="28"/>
        </w:rPr>
        <w:t>-интерфейсом не ниже версии 2.0.</w:t>
      </w:r>
    </w:p>
    <w:p w:rsidR="00CB0EF6" w:rsidRPr="00651C74" w:rsidRDefault="00CB0EF6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3.7. Требования к хранению и транспортированию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:rsidR="00DD0743" w:rsidRPr="00F600DA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4.1 Содержание расчетно-пояснительной записки</w:t>
      </w:r>
    </w:p>
    <w:p w:rsidR="001906D1" w:rsidRPr="00742BDE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4.2 Требования к оформлению</w:t>
      </w:r>
    </w:p>
    <w:p w:rsidR="001906D1" w:rsidRPr="00742BDE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lastRenderedPageBreak/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widowControl w:val="0"/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5. Стадии и этапы разработки</w:t>
      </w:r>
    </w:p>
    <w:p w:rsidR="00DD0743" w:rsidRPr="00CB0EF6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1" w:name="_Ref193634625"/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1</w:t>
      </w:r>
      <w:r w:rsidRPr="00F600DA">
        <w:rPr>
          <w:color w:val="000000" w:themeColor="text1"/>
          <w:sz w:val="28"/>
        </w:rPr>
        <w:fldChar w:fldCharType="end"/>
      </w:r>
      <w:bookmarkEnd w:id="141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3"/>
        <w:gridCol w:w="2977"/>
        <w:gridCol w:w="1695"/>
      </w:tblGrid>
      <w:tr w:rsidR="00DD0743" w:rsidRPr="00F600DA" w:rsidTr="00CB0EF6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Наименование</w:t>
            </w:r>
          </w:p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F600DA" w:rsidTr="00CB0EF6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9 – 11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15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16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 – 19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 – 23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24 февраля – 17 марта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10 марта – 1 апреля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FA2147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23 апреля – 13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13 февраля – 1 июня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CB0EF6" w:rsidRDefault="00DD0743" w:rsidP="001906D1">
      <w:pPr>
        <w:spacing w:line="360" w:lineRule="auto"/>
        <w:rPr>
          <w:color w:val="000000" w:themeColor="text1"/>
          <w:sz w:val="28"/>
          <w:lang w:val="en-US"/>
        </w:rPr>
      </w:pPr>
    </w:p>
    <w:p w:rsidR="00DD0743" w:rsidRPr="00F600DA" w:rsidRDefault="00DD0743" w:rsidP="00DD0743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6. Порядок контроля и приемки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lastRenderedPageBreak/>
        <w:t>Данные о порядке контроля и приемки находятся в табл. П1.2.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bookmarkStart w:id="142" w:name="_Ref193634654"/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2</w:t>
      </w:r>
      <w:r w:rsidRPr="00F600DA">
        <w:rPr>
          <w:color w:val="000000" w:themeColor="text1"/>
          <w:sz w:val="28"/>
        </w:rPr>
        <w:fldChar w:fldCharType="end"/>
      </w:r>
      <w:bookmarkEnd w:id="142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1"/>
        <w:gridCol w:w="1296"/>
        <w:gridCol w:w="3105"/>
        <w:gridCol w:w="2262"/>
      </w:tblGrid>
      <w:tr w:rsidR="00DD0743" w:rsidRPr="00F600DA" w:rsidTr="00FC6C2D"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контроля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1906D1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</w:pPr>
            <w:r>
              <w:t>4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11.02.2026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19.02.2026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17.03.2026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02.04.2026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6.05.2025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</w:t>
            </w:r>
            <w:r w:rsidRPr="00F600DA">
              <w:rPr>
                <w:color w:val="000000" w:themeColor="text1"/>
                <w:lang w:val="en-US"/>
              </w:rPr>
              <w:t>6</w:t>
            </w:r>
            <w:r w:rsidRPr="00F600DA">
              <w:rPr>
                <w:color w:val="000000" w:themeColor="text1"/>
              </w:rPr>
              <w:t>.06.2026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line="360" w:lineRule="auto"/>
        <w:rPr>
          <w:color w:val="000000" w:themeColor="text1"/>
          <w:sz w:val="28"/>
        </w:rPr>
      </w:pPr>
    </w:p>
    <w:p w:rsidR="00DD0743" w:rsidRPr="00F600DA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after="200" w:line="276" w:lineRule="auto"/>
        <w:rPr>
          <w:color w:val="000000" w:themeColor="text1"/>
        </w:rPr>
      </w:pPr>
      <w:r w:rsidRPr="00F600DA">
        <w:rPr>
          <w:color w:val="000000" w:themeColor="text1"/>
        </w:rPr>
        <w:br w:type="page"/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