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40" w:after="120"/>
      </w:pPr>
      <w:r>
        <w:rPr>
          <w:rFonts w:ascii="Times New Roman" w:hAnsi="Times New Roman" w:eastAsia="Times New Roman"/>
          <w:b/>
          <w:i w:val="0"/>
          <w:sz w:val="28"/>
        </w:rPr>
        <w:t>1.3 Анализ процесса обработки информации, выбор методов и алгоритмов решения задачи</w:t>
      </w: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Разрабатываемая информационная система предназначена для автоматизации тестирования web-приложений, построенных на платформе E3Core (разработка МАУ «ЦМИРиТ»). Исходными данными для системы служит формальное XML-описание метамодели тестируемого приложения, а результатом — набор исполняемых автотестов на базе Selenium WebDriver, их запуск и анализ полученных результатов. Прежде чем выбирать методы и алгоритмы решения задачи, необходимо рассмотреть природу обрабатываемой информации — особенности платформы E3Core и тестируемого приложения, — поскольку именно они определяют структуру входных данных и состав формируемых проверок.</w:t>
      </w:r>
    </w:p>
    <w:p>
      <w:pPr>
        <w:keepNext/>
        <w:spacing w:before="160" w:after="40"/>
      </w:pPr>
      <w:r>
        <w:rPr>
          <w:rFonts w:ascii="Times New Roman" w:hAnsi="Times New Roman" w:eastAsia="Times New Roman"/>
          <w:b/>
          <w:i w:val="0"/>
          <w:sz w:val="28"/>
        </w:rPr>
        <w:t>Платформа E3Core как источник обрабатываемой информации</w:t>
      </w: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E3Core — это платформа, на которой пользовательский интерфейс прикладной подсистемы (ППС) не программируется вручную, а формируется автоматически по опубликованной модели предметной области. Оператор работает с данными через единый трёхпанельный браузер объектов: слева располагается дерево объектов, справа сверху — список групп свойств выбранного объекта, справа снизу — представление выбранной группы свойств. Данные объекта отображаются группами свойств двух основных типов: карточка (в левой колонке — наименование атрибута, в правой — его значение) и табличное представление, или грид (свойства множества объектов выводятся строками таблицы). Если значение атрибута является ссылкой или справочником, его выбирают из выпадающего списка; операции над данными (добавление, сохранение изменений, удаление и др.) вызываются из меню «Редактирование». Поиск объектов выполняется через дерево поисков: оператор выбирает вид поиска, заполняет параметры и нажимает «Выполнить поиск», после чего результаты отображаются в отдельном окне.</w:t>
      </w: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Принципиально важно, что внешний вид рабочего пространства и набор выполняемых функций одинаковы для любой ППС: подсистемы различаются лишь составом меню и данными, которые целиком определяются моделью. Эта детерминированность интерфейса метамоделью и является основанием для автоматической генерации автотестов: если по модели однозначно строится интерфейс (карточки, гриды, формы поиска, пункты меню), то по той же модели можно построить и сценарии проверки этого интерфейса.</w:t>
      </w:r>
    </w:p>
    <w:p>
      <w:pPr>
        <w:keepNext/>
        <w:spacing w:before="160" w:after="40"/>
      </w:pPr>
      <w:r>
        <w:rPr>
          <w:rFonts w:ascii="Times New Roman" w:hAnsi="Times New Roman" w:eastAsia="Times New Roman"/>
          <w:b/>
          <w:i w:val="0"/>
          <w:sz w:val="28"/>
        </w:rPr>
        <w:t>Тестируемое приложение</w:t>
      </w: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Апробация системы выполняется на ППС «Гаражно-строительные кооперативы» (АИС ГСК), предназначенной для хранения и корректировки базы ГСК/ОГСК с сохранением истории изменений, а также для учёта проводимых совещаний (повестка, приглашённые, участники) и прикрепления документов. Модель этой подсистемы содержит как основные сущности, доступные из главного меню (например, «ГСК/ОГСК», «Совещание»), так и вспомогательные: историю и документы, отображаемые вкладками-гридами внутри карточки родителя, узлы дерева (например, «Повестка совещания») и справочники (например, «Должностные лица», «Тип ГСК/ОГСК», «Причина смены»), доступные только при подборе значения ссылочного поля. Это разнообразие учитывается алгоритмом классификации сущностей (см. далее).</w:t>
      </w:r>
    </w:p>
    <w:p>
      <w:pPr>
        <w:keepNext/>
        <w:spacing w:before="160" w:after="40"/>
      </w:pPr>
      <w:r>
        <w:rPr>
          <w:rFonts w:ascii="Times New Roman" w:hAnsi="Times New Roman" w:eastAsia="Times New Roman"/>
          <w:b/>
          <w:i w:val="0"/>
          <w:sz w:val="28"/>
        </w:rPr>
        <w:t>Конвейер обработки информации</w:t>
      </w: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Процесс обработки данных целесообразно представить как последовательность из пяти этапов (рисунок 1): разбор XML-модели, классификация сущностей, генерация тестового проекта, запуск тестов и анализ результатов. Этапы образуют конвейер: выход каждого этапа служит входом следующего. Такой подход обеспечивает воспроизводимость результата — при одинаковых входных данных (XML-модель и параметры) система формирует одинаковую структуру проекта и сопоставимый набор тестовых сценариев.</w:t>
      </w: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140000" cy="4199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1_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4199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 – Общая схема процесса обработки информации</w:t>
      </w: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Состав входных и выходных данных каждого этапа приведён в таблице 1.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Входные и выходные данные системы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Данные</w:t>
            </w:r>
          </w:p>
        </w:tc>
        <w:tc>
          <w:tcPr>
            <w:tcW w:type="dxa" w:w="7313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Состав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Входные данные</w:t>
            </w:r>
          </w:p>
        </w:tc>
        <w:tc>
          <w:tcPr>
            <w:tcW w:type="dxa" w:w="7313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XML-файл метамодели (сущности, атрибуты, группы свойств, операции, связи, поиски); параметры запуска: адрес тестируемого сайта, учётные данные, каталог генерации, тип сайта и наименование подсистемы.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Промежуточные данные</w:t>
            </w:r>
          </w:p>
        </w:tc>
        <w:tc>
          <w:tcPr>
            <w:tcW w:type="dxa" w:w="7313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Объектная модель метаданных в оперативной памяти; сгенерированный тестовый проект (объекты страниц, тестовые классы, инфраструктура, файл сборки); XML-отчёты о выполнении тестов.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Выходные данные</w:t>
            </w:r>
          </w:p>
        </w:tc>
        <w:tc>
          <w:tcPr>
            <w:tcW w:type="dxa" w:w="7313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Сводная статистика прогона (всего/успешно/провалено/пропущено), отчёты в форматах HTML и CSV, снимки экрана по шагам, записи о прогоне и результатах в базе отчётов.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Times New Roman" w:hAnsi="Times New Roman" w:eastAsia="Times New Roman"/>
          <w:b/>
          <w:i w:val="0"/>
          <w:sz w:val="28"/>
        </w:rPr>
        <w:t>Входные данные — XML-модель метаданных</w:t>
      </w: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Входная XML-модель имеет древовидную структуру (рисунок 2). Корневой элемент модели содержит описание подсистемы (Category) и общий блок поисков (Searches). Подсистема включает множество сущностей (Object), каждая из которых описывается: ключом и именем хранимого представления (таблицы); набором связей с другими сущностями (AssociationObjectA); группами свойств (Properties). Группа свойств может быть карточкой или гридом и содержит атрибуты (Property) и, при наличии, операцию (Operation) с набором допустимых действий (Modifier). Блок поисков содержит описания поисковых запросов (Search) с параметрами (SearchParam) и колонками результата (SearchResultProperty).</w:t>
      </w: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215768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2_xml_stru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57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2 – Структура XML-метамодели E3Core</w:t>
      </w: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Все элементы метамодели, показанные на рисунке 2, и их назначение приведены в таблице 2.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2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Основные элементы XML-метамодели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608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Элемент</w:t>
            </w:r>
          </w:p>
        </w:tc>
        <w:tc>
          <w:tcPr>
            <w:tcW w:type="dxa" w:w="6746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Назначение</w:t>
            </w:r>
          </w:p>
        </w:tc>
      </w:tr>
      <w:tr>
        <w:tc>
          <w:tcPr>
            <w:tcW w:type="dxa" w:w="260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E3</w:t>
            </w:r>
          </w:p>
        </w:tc>
        <w:tc>
          <w:tcPr>
            <w:tcW w:type="dxa" w:w="6746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Корневой элемент XML-модели; объединяет описание подсистемы и общий блок поисковых запросов.</w:t>
            </w:r>
          </w:p>
        </w:tc>
      </w:tr>
      <w:tr>
        <w:tc>
          <w:tcPr>
            <w:tcW w:type="dxa" w:w="260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Category</w:t>
            </w:r>
          </w:p>
        </w:tc>
        <w:tc>
          <w:tcPr>
            <w:tcW w:type="dxa" w:w="6746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Подсистема (ППС): её наименование (CategoryName) и идентификатор; по наименованию определяется подсистема, открываемая после входа.</w:t>
            </w:r>
          </w:p>
        </w:tc>
      </w:tr>
      <w:tr>
        <w:tc>
          <w:tcPr>
            <w:tcW w:type="dxa" w:w="260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Object</w:t>
            </w:r>
          </w:p>
        </w:tc>
        <w:tc>
          <w:tcPr>
            <w:tcW w:type="dxa" w:w="6746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Сущность предметной области: отображаемое имя, имя ключевого поля (keyName) и имя хранимого представления — таблицы (featureName).</w:t>
            </w:r>
          </w:p>
        </w:tc>
      </w:tr>
      <w:tr>
        <w:tc>
          <w:tcPr>
            <w:tcW w:type="dxa" w:w="260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AssociationObjectA</w:t>
            </w:r>
          </w:p>
        </w:tc>
        <w:tc>
          <w:tcPr>
            <w:tcW w:type="dxa" w:w="6746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Связь сущности с другой сущностью (ссылочное поле): роли сторон, признак показа узлом дерева (addFromTree), признак отображения (flag_display); указывает на связанную сущность.</w:t>
            </w:r>
          </w:p>
        </w:tc>
      </w:tr>
      <w:tr>
        <w:tc>
          <w:tcPr>
            <w:tcW w:type="dxa" w:w="260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Properties</w:t>
            </w:r>
          </w:p>
        </w:tc>
        <w:tc>
          <w:tcPr>
            <w:tcW w:type="dxa" w:w="6746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Группа свойств сущности. Вид группы задают stereoType и type_link: карточка (type_link="P") — атрибуты одного объекта, грид (stereoType="Grid") — таблица объектов.</w:t>
            </w:r>
          </w:p>
        </w:tc>
      </w:tr>
      <w:tr>
        <w:tc>
          <w:tcPr>
            <w:tcW w:type="dxa" w:w="260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Property</w:t>
            </w:r>
          </w:p>
        </w:tc>
        <w:tc>
          <w:tcPr>
            <w:tcW w:type="dxa" w:w="6746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Атрибут (поле): отображаемое имя, системное имя (attrName), тип значения (attrType), обязательность (necessarily), маска ввода (mask), способ ввода (dmodule) и стереотип (Directory/Ref — ссылочное поле).</w:t>
            </w:r>
          </w:p>
        </w:tc>
      </w:tr>
      <w:tr>
        <w:tc>
          <w:tcPr>
            <w:tcW w:type="dxa" w:w="260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Operation</w:t>
            </w:r>
          </w:p>
        </w:tc>
        <w:tc>
          <w:tcPr>
            <w:tcW w:type="dxa" w:w="6746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Операция группы свойств: имя серверного метода и модуля её выполнения.</w:t>
            </w:r>
          </w:p>
        </w:tc>
      </w:tr>
      <w:tr>
        <w:tc>
          <w:tcPr>
            <w:tcW w:type="dxa" w:w="260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OperationParam</w:t>
            </w:r>
          </w:p>
        </w:tc>
        <w:tc>
          <w:tcPr>
            <w:tcW w:type="dxa" w:w="6746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 операции: имя, направление передачи и тип значения.</w:t>
            </w:r>
          </w:p>
        </w:tc>
      </w:tr>
      <w:tr>
        <w:tc>
          <w:tcPr>
            <w:tcW w:type="dxa" w:w="260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Modifier</w:t>
            </w:r>
          </w:p>
        </w:tc>
        <w:tc>
          <w:tcPr>
            <w:tcW w:type="dxa" w:w="6746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Допустимое действие операции: I — добавить, U — сохранить изменения, D — удалить, E — лог. изменить (с историей), A — в архив.</w:t>
            </w:r>
          </w:p>
        </w:tc>
      </w:tr>
      <w:tr>
        <w:tc>
          <w:tcPr>
            <w:tcW w:type="dxa" w:w="260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Searches</w:t>
            </w:r>
          </w:p>
        </w:tc>
        <w:tc>
          <w:tcPr>
            <w:tcW w:type="dxa" w:w="6746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Блок описаний поисковых запросов подсистемы.</w:t>
            </w:r>
          </w:p>
        </w:tc>
      </w:tr>
      <w:tr>
        <w:tc>
          <w:tcPr>
            <w:tcW w:type="dxa" w:w="260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Search</w:t>
            </w:r>
          </w:p>
        </w:tc>
        <w:tc>
          <w:tcPr>
            <w:tcW w:type="dxa" w:w="6746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Поисковый запрос: его имя и идентификатор сущности, по которой выполняется поиск (searchObjectGUID).</w:t>
            </w:r>
          </w:p>
        </w:tc>
      </w:tr>
      <w:tr>
        <w:tc>
          <w:tcPr>
            <w:tcW w:type="dxa" w:w="260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SearchQuery</w:t>
            </w:r>
          </w:p>
        </w:tc>
        <w:tc>
          <w:tcPr>
            <w:tcW w:type="dxa" w:w="6746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Текст запроса к источнику данных, по которому отбираются объекты.</w:t>
            </w:r>
          </w:p>
        </w:tc>
      </w:tr>
      <w:tr>
        <w:tc>
          <w:tcPr>
            <w:tcW w:type="dxa" w:w="260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SearchParam</w:t>
            </w:r>
          </w:p>
        </w:tc>
        <w:tc>
          <w:tcPr>
            <w:tcW w:type="dxa" w:w="6746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 поиска: имя, отображаемый заголовок (title), тип значения, маска ввода и признак обязательности.</w:t>
            </w:r>
          </w:p>
        </w:tc>
      </w:tr>
      <w:tr>
        <w:tc>
          <w:tcPr>
            <w:tcW w:type="dxa" w:w="260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SearchResult</w:t>
            </w:r>
          </w:p>
        </w:tc>
        <w:tc>
          <w:tcPr>
            <w:tcW w:type="dxa" w:w="6746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 результата поиска: имя поля-идентификатора объекта.</w:t>
            </w:r>
          </w:p>
        </w:tc>
      </w:tr>
      <w:tr>
        <w:tc>
          <w:tcPr>
            <w:tcW w:type="dxa" w:w="260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SearchResultProperty</w:t>
            </w:r>
          </w:p>
        </w:tc>
        <w:tc>
          <w:tcPr>
            <w:tcW w:type="dxa" w:w="6746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Колонка результата поиска: имя, отображаемый заголовок (title) и признак видимости (visible).</w:t>
            </w:r>
          </w:p>
        </w:tc>
      </w:tr>
    </w:tbl>
    <w:p>
      <w:pPr>
        <w:spacing w:after="40"/>
      </w:pP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Фрагмент входной XML-модели (с сокращениями) приведён на рисунке 3; он иллюстрирует описание сущности «ГСК/ОГСК», её обязательных и ссылочных атрибутов, операции с действиями и связанного поискового запроса.</w:t>
      </w: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405744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3_xml_fragm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7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3 – Фрагмент входной XML-модели метаданных (сокращённо)</w:t>
      </w:r>
    </w:p>
    <w:p>
      <w:pPr>
        <w:keepNext/>
        <w:spacing w:before="160" w:after="40"/>
      </w:pPr>
      <w:r>
        <w:rPr>
          <w:rFonts w:ascii="Times New Roman" w:hAnsi="Times New Roman" w:eastAsia="Times New Roman"/>
          <w:b/>
          <w:i w:val="0"/>
          <w:sz w:val="28"/>
        </w:rPr>
        <w:t>Метод чтения XML-модели — потоковый разбор</w:t>
      </w: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чтения XML-модели выбран потоковый метод разбора на основе технологии StAX (Streaming API for XML). StAX относится к разбору «по запросу» (pull-парсер): программа последовательно запрашивает у анализатора очередное событие (начало элемента, конец элемента, текст) и сама решает, как его обработать. В отличие от разбора с построением полного дерева документа в памяти (DOM), потоковый метод не загружает весь файл целиком, экономно расходует память и позволяет читать только нужные элементы, пропуская остальные. Это удобно для объёмных файлов метаданных и снижает связанность анализатора с деталями формата.</w:t>
      </w: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Алгоритм разбора (рисунок 4; здесь и далее схемы алгоритмов выполнены по ГОСТ 19.701-90) состоит в последовательном чтении событий до конца документа. При появлении начала элемента анализатор определяет его вид: описание подсистемы — сохраняет её имя и идентификатор; сущность — передаёт управление процедуре разбора сущности; блок поисков — процедуре разбора поисков. Неизвестные или неиспользуемые блоки пропускаются перемоткой курсора до соответствующего закрывающего тега. По достижении конца документа возвращается сформированная объектная модель.</w:t>
      </w: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325401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4_stax_pars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254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4 – Алгоритм потокового разбора XML-модели</w:t>
      </w:r>
    </w:p>
    <w:p>
      <w:pPr>
        <w:keepNext/>
        <w:spacing w:before="160" w:after="40"/>
      </w:pPr>
      <w:r>
        <w:rPr>
          <w:rFonts w:ascii="Times New Roman" w:hAnsi="Times New Roman" w:eastAsia="Times New Roman"/>
          <w:b/>
          <w:i w:val="0"/>
          <w:sz w:val="28"/>
        </w:rPr>
        <w:t>Построение объектной модели и классификация сущностей</w:t>
      </w: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Результатом разбора является объектная модель — представление метамодели в виде связанных объектов в оперативной памяти: подсистема, сущности, группы свойств, атрибуты, операции, связи и поиски. На этой модели и работают все последующие этапы. После построения модели каждая сущность пропускается через классификатор, который относит её к одной из трёх категорий (таблица 3). Цель классификации — не генерировать бесполезные тесты для сущностей, недоступных из главного меню: справочников, подбираемых только из ссылочных полей, и дочерних сущностей, существующих лишь внутри карточки родителя. Для таких сущностей самостоятельные тесты давали бы только пропуски навигации — потерянное время и неинформативные отчёты.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3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Категории сущностей по результату классификации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1928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Категория</w:t>
            </w:r>
          </w:p>
        </w:tc>
        <w:tc>
          <w:tcPr>
            <w:tcW w:type="dxa" w:w="4876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  <w:tc>
          <w:tcPr>
            <w:tcW w:type="dxa" w:w="2551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Что генерируется</w:t>
            </w:r>
          </w:p>
        </w:tc>
      </w:tr>
      <w:tr>
        <w:tc>
          <w:tcPr>
            <w:tcW w:type="dxa" w:w="192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PRIMARY</w:t>
              <w:br/>
              <w:t>(основная)</w:t>
            </w:r>
          </w:p>
        </w:tc>
        <w:tc>
          <w:tcPr>
            <w:tcW w:type="dxa" w:w="4876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Сущность с точкой входа в главном меню, собственными операциями и поисками.</w:t>
            </w:r>
          </w:p>
        </w:tc>
        <w:tc>
          <w:tcPr>
            <w:tcW w:type="dxa" w:w="255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Объект страницы и полный тестовый класс.</w:t>
            </w:r>
          </w:p>
        </w:tc>
      </w:tr>
      <w:tr>
        <w:tc>
          <w:tcPr>
            <w:tcW w:type="dxa" w:w="192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CHILD</w:t>
              <w:br/>
              <w:t>(дочерняя)</w:t>
            </w:r>
          </w:p>
        </w:tc>
        <w:tc>
          <w:tcPr>
            <w:tcW w:type="dxa" w:w="4876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Существует как вкладка-грид внутри родителя или как узел дерева; из главного меню недоступна.</w:t>
            </w:r>
          </w:p>
        </w:tc>
        <w:tc>
          <w:tcPr>
            <w:tcW w:type="dxa" w:w="255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Тест в составе карточки родителя.</w:t>
            </w:r>
          </w:p>
        </w:tc>
      </w:tr>
      <w:tr>
        <w:tc>
          <w:tcPr>
            <w:tcW w:type="dxa" w:w="192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REFERENCE_</w:t>
              <w:br/>
              <w:t>DICTIONARY</w:t>
              <w:br/>
              <w:t>(справочник)</w:t>
            </w:r>
          </w:p>
        </w:tc>
        <w:tc>
          <w:tcPr>
            <w:tcW w:type="dxa" w:w="4876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Доступна только при подборе значения ссылочного поля (FK-пикер) или является системным справочником.</w:t>
            </w:r>
          </w:p>
        </w:tc>
        <w:tc>
          <w:tcPr>
            <w:tcW w:type="dxa" w:w="255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Самостоятельные тесты не генерируются.</w:t>
            </w:r>
          </w:p>
        </w:tc>
      </w:tr>
    </w:tbl>
    <w:p>
      <w:pPr>
        <w:spacing w:after="40"/>
      </w:pP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Правила классификации применяются последовательно (рисунок 5). Сначала проверяется, не совпадает ли сущность по имени с какой-либо вкладкой-гридом внутри другой сущности (тогда это дочерняя сущность-вкладка). Затем — не показывается ли она узлом дерева внутри родителя при наличии собственных операций (дочерний узел дерева). Далее распознаются справочники: по служебному префиксу имени представления; по тому, что все связанные поиски не имеют параметров и возвращают только ключ и наименование (поиск «выбрать одно значение»); по тому, что сущность используется исключительно как цель подбора ссылочного значения и ни один родитель не показывает её строки таблицей. Если ни одно правило не сработало, сущность считается основной.</w:t>
      </w: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140000" cy="640763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5_classifica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6407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5 – Алгоритм классификации сущностей</w:t>
      </w:r>
    </w:p>
    <w:p>
      <w:pPr>
        <w:keepNext/>
        <w:spacing w:before="160" w:after="40"/>
      </w:pPr>
      <w:r>
        <w:rPr>
          <w:rFonts w:ascii="Times New Roman" w:hAnsi="Times New Roman" w:eastAsia="Times New Roman"/>
          <w:b/>
          <w:i w:val="0"/>
          <w:sz w:val="28"/>
        </w:rPr>
        <w:t>Метод организации автотестов — паттерн Page Object</w:t>
      </w: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Сгенерированные автотесты организуются по архитектурному шаблону «Объект страницы» (Page Object). Согласно этому шаблону, для каждой экранной формы (страницы) создаётся отдельный объект, который инкапсулирует элементы формы и операции над ними и предоставляет тесту понятные методы предметной области (например, «заполнить поле», «нажать Добавить», «поле отображается», «число строк таблицы»). Тестовый класс описывает сценарий проверки в терминах этих методов и не обращается к элементам страницы напрямую (рисунок 6).</w:t>
      </w: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324253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6_page_objec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2425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6 – Взаимодействие компонентов по паттерну Page Object</w:t>
      </w: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Такое разделение даёт ключевое преимущество — устойчивость к изменениям: если разметка формы меняется, правки локализуются в одном объекте страницы, а тексты тестов остаются неизменными. Кроме того, повышается читаемость тестов и повторно используются операции над формой. Применительно к E3Core объект страницы учитывает особенности платформы: поля карточки адресуются по отображаемому (русскому) имени, поскольку устойчивых системных идентификаторов у ячеек табличной карточки нет; для ссылочных полей выполняется выбор значения из выпадающего списка, а действия (Добавить, Сохранить, Удалить) вызываются через меню «Редактирование».</w:t>
      </w:r>
    </w:p>
    <w:p>
      <w:pPr>
        <w:keepNext/>
        <w:spacing w:before="160" w:after="40"/>
      </w:pPr>
      <w:r>
        <w:rPr>
          <w:rFonts w:ascii="Times New Roman" w:hAnsi="Times New Roman" w:eastAsia="Times New Roman"/>
          <w:b/>
          <w:i w:val="0"/>
          <w:sz w:val="28"/>
        </w:rPr>
        <w:t>Алгоритм генерации тестового проекта</w:t>
      </w: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Генерация выполняется по шаблонному принципу: на основе объектной модели формируются исходные файлы тестового проекта по заранее заданным образцам. Сначала создаётся структура проекта — файл сборки и конфигурация запуска, — а затем инфраструктурные компоненты, общие для всех тестов: единый драйвер браузера (вход в систему и выбор подсистемы выполняются один раз и переиспользуются), базовый тестовый класс с общими операциями навигации и набор тестовых данных. После этого для каждой сущности модели по результату классификации формируются: для основной — объект страницы и тестовый класс; для дочерней — тест в составе родителя; справочники пропускаются. По завершении сохраняется отчёт о классификации (рисунок 7).</w:t>
      </w: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140000" cy="356819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7_gener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3568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7 – Алгоритм генерации тестового проекта</w:t>
      </w: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Результаты генерации разных XML-моделей размещаются в отдельных подкаталогах по имени файла, что исключает их смешение, а повторная генерация той же модели полностью пересоздаёт её подкаталог, не оставляя устаревших тестов. Шаблонный подход обеспечивает единый стиль сгенерированного кода, повторяемость результата и расширяемость — добавление новых видов проверок по мере появления новых элементов в модели.</w:t>
      </w: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Имена классов и методов формируются из русских имён сущностей и атрибутов автоматически — алгоритмом транслитерации кириллицы в латиницу с приведением к принятому в языке программирования виду (например, «ГСК/ОГСК» преобразуется в основу имени «GskOgsk»). Это гарантирует, что сгенерированные идентификаторы корректны и устойчивы при повторной генерации.</w:t>
      </w:r>
    </w:p>
    <w:p>
      <w:pPr>
        <w:keepNext/>
        <w:spacing w:before="160" w:after="40"/>
      </w:pPr>
      <w:r>
        <w:rPr>
          <w:rFonts w:ascii="Times New Roman" w:hAnsi="Times New Roman" w:eastAsia="Times New Roman"/>
          <w:b/>
          <w:i w:val="0"/>
          <w:sz w:val="28"/>
        </w:rPr>
        <w:t>Алгоритм подбора тестовых данных</w:t>
      </w: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заполнения полей форм система подбирает значения по типу атрибута и маске ввода (рисунок 8). Ссылочные поля (справочник, ссылка) не заполняются текстом — для них предусмотрен выбор готового значения из выпадающего списка. Если у поля задана маска, значение формируется по ней: позиции цифр заполняются цифрами, позиции букв — буквами, разделители сохраняются; при этом маски, похожие на дату или дату-время, дают корректную текущую дату, а не произвольную последовательность цифр. Если маска не задана, значение выбирается по типу: для строки — осмысленный текстовый шаблон, для числа — случайное число в заданном диапазоне, для даты — сегодняшняя дата, для даты-времени — текущий момент со сдвигом назад (чтобы значение не оказалось в будущем). Для обязательных строковых полей к значению добавляется суффикс уникальности, что позволяет затем найти созданную запись в таблице результатов.</w:t>
      </w: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184238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8_test_da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42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8 – Алгоритм подбора тестовых данных по типу и маске</w:t>
      </w: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Генератор псевдослучайных значений инициализируется фиксированным начальным значением, поэтому при повторной генерации подбираются те же данные — это поддерживает воспроизводимость тестового набора.</w:t>
      </w:r>
    </w:p>
    <w:p>
      <w:pPr>
        <w:keepNext/>
        <w:spacing w:before="160" w:after="40"/>
      </w:pPr>
      <w:r>
        <w:rPr>
          <w:rFonts w:ascii="Times New Roman" w:hAnsi="Times New Roman" w:eastAsia="Times New Roman"/>
          <w:b/>
          <w:i w:val="0"/>
          <w:sz w:val="28"/>
        </w:rPr>
        <w:t>Состав формируемых проверок</w:t>
      </w: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Состав проверок для каждой тестируемой сущности определяется её описанием в модели: набором обязательных полей, перечнем допустимых действий (Modifier) и связанными поисками. Предусмотрены три уровня покрытия — смоук, базовый и полный, — отличающиеся глубиной проверок. Перечень формируемых проверок приведён в таблице 4.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4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Состав проверок, формируемых для тестируемой сущности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Проверка</w:t>
            </w:r>
          </w:p>
        </w:tc>
        <w:tc>
          <w:tcPr>
            <w:tcW w:type="dxa" w:w="3005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Условие генерации</w:t>
            </w:r>
          </w:p>
        </w:tc>
        <w:tc>
          <w:tcPr>
            <w:tcW w:type="dxa" w:w="3969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Назначение</w:t>
            </w:r>
          </w:p>
        </w:tc>
      </w:tr>
      <w:tr>
        <w:tc>
          <w:tcPr>
            <w:tcW w:type="dxa" w:w="238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Наличие полей формы</w:t>
            </w:r>
          </w:p>
        </w:tc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Всегда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Навигация к сущности и отображение всех полей карточки/грида.</w:t>
            </w:r>
          </w:p>
        </w:tc>
      </w:tr>
      <w:tr>
        <w:tc>
          <w:tcPr>
            <w:tcW w:type="dxa" w:w="238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Валидация обязательных полей</w:t>
            </w:r>
          </w:p>
        </w:tc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Есть обязательные поля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Отправка пустой формы должна отклоняться системой.</w:t>
            </w:r>
          </w:p>
        </w:tc>
      </w:tr>
      <w:tr>
        <w:tc>
          <w:tcPr>
            <w:tcW w:type="dxa" w:w="238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Частичное заполнение</w:t>
            </w:r>
          </w:p>
        </w:tc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Два и более обязательных полей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Заполнено только первое поле — отправка должна отклоняться.</w:t>
            </w:r>
          </w:p>
        </w:tc>
      </w:tr>
      <w:tr>
        <w:tc>
          <w:tcPr>
            <w:tcW w:type="dxa" w:w="238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Создание записи</w:t>
            </w:r>
          </w:p>
        </w:tc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Действие «Добавить» (I)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Заполнение полей и сохранение; проверка появления записи.</w:t>
            </w:r>
          </w:p>
        </w:tc>
      </w:tr>
      <w:tr>
        <w:tc>
          <w:tcPr>
            <w:tcW w:type="dxa" w:w="238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Изменение записи</w:t>
            </w:r>
          </w:p>
        </w:tc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Действие «Сохранить» (U)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Изменение значения существующей записи.</w:t>
            </w:r>
          </w:p>
        </w:tc>
      </w:tr>
      <w:tr>
        <w:tc>
          <w:tcPr>
            <w:tcW w:type="dxa" w:w="238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Удаление записи</w:t>
            </w:r>
          </w:p>
        </w:tc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Действие «Удалить» (D)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Удаление записи из таблицы.</w:t>
            </w:r>
          </w:p>
        </w:tc>
      </w:tr>
      <w:tr>
        <w:tc>
          <w:tcPr>
            <w:tcW w:type="dxa" w:w="238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Лог. изменение / архив</w:t>
            </w:r>
          </w:p>
        </w:tc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Действия E / A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Сохранение изменения с историей; перевод в архив.</w:t>
            </w:r>
          </w:p>
        </w:tc>
      </w:tr>
      <w:tr>
        <w:tc>
          <w:tcPr>
            <w:tcW w:type="dxa" w:w="238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Поиск</w:t>
            </w:r>
          </w:p>
        </w:tc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Есть связанный поиск с параметрами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Заполнение параметров и выполнение поиска.</w:t>
            </w:r>
          </w:p>
        </w:tc>
      </w:tr>
      <w:tr>
        <w:tc>
          <w:tcPr>
            <w:tcW w:type="dxa" w:w="238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Проверка грида</w:t>
            </w:r>
          </w:p>
        </w:tc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Есть вкладка-грид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Отображение колонок и кнопок табличного представления.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Times New Roman" w:hAnsi="Times New Roman" w:eastAsia="Times New Roman"/>
          <w:b/>
          <w:i w:val="0"/>
          <w:sz w:val="28"/>
        </w:rPr>
        <w:t>Запуск тестов и анализ результатов</w:t>
      </w: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Запуск сгенерированных тестов выполняется средствами системы сборки Maven в стандартной фазе выполнения тестов через подключаемый модуль Surefire. Surefire выполняет тесты и формирует отчёты в формате XML в каталоге результатов. Тесты управляют реальным браузером через Selenium WebDriver: открывают тестируемое приложение, выполняют вход, навигацию и проверки, попутно сохраняя снимки экрана по шагам.</w:t>
      </w: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Анализ результатов (рисунок 9) состоит в чтении XML-отчётов тем же потоковым методом, что и при разборе модели, извлечении из них статусов тестов (успех, отказ, пропуск), сообщений об ошибках и длительностей. По извлечённым данным формируется агрегированная статистика прогона; снимки экрана сопоставляются с соответствующими тест-кейсами по соглашению об именах файлов. Итоги выгружаются в автономные отчёты (HTML и CSV) и сохраняются в базе отчётов для последующего просмотра истории прогонов.</w:t>
      </w: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2520000" cy="363235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9_run_analyz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3632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9 – Алгоритм запуска тестов и анализа результатов</w:t>
      </w: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хранения истории прогонов применяется встраиваемая СУБД, не требующая отдельного серверного процесса; база располагается в одном файле и создаётся автоматически при первом запуске. В неё сохраняются сведения о каждом прогоне (дата, исходный файл, итоговые показатели) и результаты отдельных тест-кейсов.</w:t>
      </w: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Таким образом, для решения поставленной задачи выбраны и обоснованы следующие методы и алгоритмы: потоковый разбор XML-модели (StAX), классификация сущностей по доступности из интерфейса, шаблонная генерация тестового проекта с организацией тестов по паттерну Page Object, подбор тестовых данных по типу и маске, запуск тестов средствами Maven Surefire с последующим разбором отчётов и сохранением истории. Совокупность этих методов образует воспроизводимый конвейер преобразования XML-метамодели в выполненные автотесты. Проектирование структур данных и классов, реализующих описанные алгоритмы, выполняется в последующих разделах (1.4–1.5).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