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Times New Roman" w:hAnsi="Times New Roman" w:cs="Times New Roman"/>
          <w:b w:val="0"/>
          <w:sz w:val="28"/>
        </w:rPr>
        <w:t>Таблица 139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sz w:val="28"/>
        </w:rPr>
        <w:t>Результаты автономного тестирования модулей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405"/>
        <w:gridCol w:w="2510"/>
        <w:gridCol w:w="2755"/>
        <w:gridCol w:w="1626"/>
      </w:tblGrid>
      <w:tr>
        <w:trPr>
          <w:tblHeader w:val="true"/>
        </w:trPr>
        <w:tc>
          <w:tcPr>
            <w:tcW w:type="dxa" w:w="112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Дата</w:t>
            </w:r>
          </w:p>
        </w:tc>
        <w:tc>
          <w:tcPr>
            <w:tcW w:type="dxa" w:w="140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Тестирование проводил</w:t>
            </w:r>
          </w:p>
        </w:tc>
        <w:tc>
          <w:tcPr>
            <w:tcW w:type="dxa" w:w="25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Описание теста</w:t>
            </w:r>
          </w:p>
        </w:tc>
        <w:tc>
          <w:tcPr>
            <w:tcW w:type="dxa" w:w="275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62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Результат тестирования</w:t>
            </w:r>
          </w:p>
        </w:tc>
      </w:tr>
      <w:tr>
        <w:trPr>
          <w:tblHeader w:val="true"/>
        </w:trPr>
        <w:tc>
          <w:tcPr>
            <w:tcW w:type="dxa" w:w="112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type="dxa" w:w="140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type="dxa" w:w="25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3</w:t>
            </w:r>
          </w:p>
        </w:tc>
        <w:tc>
          <w:tcPr>
            <w:tcW w:type="dxa" w:w="275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type="dxa" w:w="162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</w:tr>
      <w:tr>
        <w:tc>
          <w:tcPr>
            <w:tcW w:type="dxa" w:w="1626"/>
            <w:gridSpan w:val="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Модуль «UI»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05.05.2026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App: загрузка FXML-разметки главного окна и инициализация графического интерфейса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Окно отображается, обработчики событий привязаны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05.05.2026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MainController: проверка ввода параметров, в том числе обработка пустых и некорректных значений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Выводится сообщение, операция не запускается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626"/>
            <w:gridSpan w:val="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Модуль «Parser»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05.05.2026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XmlModelParser: разбор корректного XML-файла, файла без сущностей и файла с ошибкой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AppModel с N сущностей / 0 сущностей / ParserException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06.05.2026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EntityParser: разбор блока сущности с группами свойств и ассоциациями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EntityObject с группами свойств и ассоциациями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06.05.2026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PropertyGroupParser: разбор группы свойств с полями и операциями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PropertyGroup с полями и операциями INSERT/UPDATE/DELETE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06.05.2026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SearchParser: разбор блока поиска с параметрами и колонками результата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Search с параметрами (SearchParam) и колонками результата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06.05.2026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StaxUtils: чтение отсутствующего атрибута и преобразование нечислового значения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Пустая строка «» и 0 соответственно, без аварии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07.05.2026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XmlNamespaces: проверка значений констант пространств имён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Совпадают с пространствами имён в XML-файле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626"/>
            <w:gridSpan w:val="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Модуль «Model»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07.05.2026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EntityClassifier: классификация справочника, дочерней и основной сущности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REFERENCE_DICTIONARY, CHILD, PRIMARY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07.05.2026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AppModel: поиск сущности по GUID и определение имени подсистемы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Возвращается искомая сущность; имя подсистемы извлекается из CategoryName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08.05.2026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EntityObject: определение наличия CRUD-операций и формы карточки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Корректно возвращаются признак CRUD и группа PropertyGroup типа FormView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626"/>
            <w:gridSpan w:val="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Модуль «Generator»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08.05.2026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TestConfig: сохранение и чтение параметров генерации (адрес сайта, логин, каталог вывода и др.)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Все параметры сохраняются и читаются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08.05.2026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TestGenerator: управление процессом генерации тестового проекта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Создаются pom.xml, общие классы, Page Object, тесты, entity-classification.csv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09.05.2026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PageObjectWriter: формирование Page Object для основной сущности и пропуск сущности без полей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Page Object с полями / класс пропускается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09.05.2026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TestClassWriter: формирование тест-класса JUnit 5 для основной сущности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Тест-класс с полным набором проверок (поля, валидация, CRUD, поиск, гриды)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09.05.2026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TestDataFactory: формирование тестовых значений по маске и типу поля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12 цифр; корректная дата; детерминированные значения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10.05.2026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TestRunner: разбор XML-отчёта Surefire и подсчёт результатов прогона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Сводка «всего / успешно / провалено»; процесс корректно завершается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10.05.2026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RunReportWriter: формирование HTML-отчёта со скриншотами и CSV-выгрузки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Сформированы HTML-отчёт со скриншотами и CSV-файл с результатами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626"/>
            <w:gridSpan w:val="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Модуль «Data»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10.05.2026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Классы DatabaseConnection и SchemaInitializer: подключение к БД SQLite и инициализация схемы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Создаётся файл autotestgen.db, таблицы test_run и test_case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11.05.2026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ReportDao: сохранение прогона и чтение истории прогонов из базы данных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Прогон сохранён, история и тест-кейсы корректно читаются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11.05.2026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Классы TestRunDao и TestCaseDao: запись заголовка прогона и пакета тест-кейсов, выборка по идентификатору прогона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Данные записываются и выбираются без потерь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626"/>
            <w:gridSpan w:val="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Модуль «Common»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11.05.2026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JavaFileWriter: форматированная запись Java-кода с отступами и блоками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Сформирован корректный Java-файл с правильными отступами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12.05.2026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Transliterator: преобразование русских имён в идентификаторы языка Java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Получены валидные Java-идентификаторы (класс, метод, поле)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12.05.2026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Класс ParserException: формирование исключения при ошибке разбора метамодели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Исключение содержит сообщение и причину ошибки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</w:tbl>
    <w:p>
      <w:pPr>
        <w:spacing w:after="0"/>
        <w:ind w:firstLine="420"/>
        <w:jc w:val="both"/>
      </w:pPr>
      <w:r>
        <w:rPr>
          <w:rFonts w:ascii="Times New Roman" w:hAnsi="Times New Roman" w:cs="Times New Roman"/>
          <w:b w:val="0"/>
          <w:sz w:val="28"/>
        </w:rPr>
        <w:t>После автономного тестирования модулей было проведено комплексное тестирование информационной системы, в ходе которого проверялось взаимодействие модулей между собой по межмодульным связям карты Константайна (рис. 69). Результаты комплексного тестирования приведены в табл. 140.</w:t>
      </w:r>
    </w:p>
    <w:p>
      <w:pPr>
        <w:spacing w:after="0"/>
        <w:jc w:val="right"/>
      </w:pPr>
      <w:r>
        <w:rPr>
          <w:rFonts w:ascii="Times New Roman" w:hAnsi="Times New Roman" w:cs="Times New Roman"/>
          <w:b w:val="0"/>
          <w:sz w:val="28"/>
        </w:rPr>
        <w:t>Таблица 140</w:t>
      </w:r>
    </w:p>
    <w:p>
      <w:pPr>
        <w:spacing w:after="0"/>
        <w:jc w:val="center"/>
      </w:pPr>
      <w:r>
        <w:rPr>
          <w:rFonts w:ascii="Times New Roman" w:hAnsi="Times New Roman" w:cs="Times New Roman"/>
          <w:b w:val="0"/>
          <w:sz w:val="28"/>
        </w:rPr>
        <w:t>Результаты комплексного тестирования информационной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405"/>
        <w:gridCol w:w="2510"/>
        <w:gridCol w:w="2755"/>
        <w:gridCol w:w="1626"/>
      </w:tblGrid>
      <w:tr>
        <w:trPr>
          <w:tblHeader w:val="true"/>
        </w:trPr>
        <w:tc>
          <w:tcPr>
            <w:tcW w:type="dxa" w:w="112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Дата</w:t>
            </w:r>
          </w:p>
        </w:tc>
        <w:tc>
          <w:tcPr>
            <w:tcW w:type="dxa" w:w="140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Тестирование проводил</w:t>
            </w:r>
          </w:p>
        </w:tc>
        <w:tc>
          <w:tcPr>
            <w:tcW w:type="dxa" w:w="25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Описание теста</w:t>
            </w:r>
          </w:p>
        </w:tc>
        <w:tc>
          <w:tcPr>
            <w:tcW w:type="dxa" w:w="275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62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Результат тестирования</w:t>
            </w:r>
          </w:p>
        </w:tc>
      </w:tr>
      <w:tr>
        <w:trPr>
          <w:tblHeader w:val="true"/>
        </w:trPr>
        <w:tc>
          <w:tcPr>
            <w:tcW w:type="dxa" w:w="112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type="dxa" w:w="140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type="dxa" w:w="25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3</w:t>
            </w:r>
          </w:p>
        </w:tc>
        <w:tc>
          <w:tcPr>
            <w:tcW w:type="dxa" w:w="275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type="dxa" w:w="162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18.05.2026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«UI» → Модуль «Parser»: передача пути к XML-файлу, получение объектной модели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Модель AppModel построена, дерево сущностей отображено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18.05.2026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«UI» → Модуль «Generator»: передача AppModel и TestConfig (уровень, fastMode — по управлению)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 Maven-проект автотестов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18.05.2026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«UI» → Модуль «Generator»: запуск прогона по фильтру тестов и режиму fastMode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Прогон автотестов запущен, получен TestRunResult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19.05.2026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«UI» → Модуль «Data»: передача TestRunResult и запрос истории прогонов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Прогон сохранён, история прогонов получена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19.05.2026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«Parser» → Модуль «Model»: формирование объектов модели при разборе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Созданы EntityObject, Property, Search, PropertyGroup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19.05.2026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«Generator» → Модуль «Model»: чтение модели и классификация сущностей (EntityClassifier)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Определены категории PRIMARY / CHILD / REFERENCE_DICTIONARY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20.05.2026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«Data» → Модуль «Model»: отображение результатов прогона в записи БД и обратно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TestRunResult и TestCaseResult корректно отображаются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20.05.2026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«Data» → база данных autotestgen.db: выполнение INSERT прогона и SELECT истории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добавлена, получен ResultSet со списком прогонов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20.05.2026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«Parser» → Модуль «Common»: генерация ParserException при ошибке разбора (общее сцепление)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Исключение корректно формируется и обрабатывается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  <w:tr>
        <w:tc>
          <w:tcPr>
            <w:tcW w:type="dxa" w:w="1123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21.05.2026</w:t>
            </w:r>
          </w:p>
        </w:tc>
        <w:tc>
          <w:tcPr>
            <w:tcW w:type="dxa" w:w="140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Тестировщик</w:t>
            </w:r>
          </w:p>
        </w:tc>
        <w:tc>
          <w:tcPr>
            <w:tcW w:type="dxa" w:w="2510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Модуль «Generator» → Модуль «Common»: запись Java-кода (JavaFileWriter) и транслитерация имён (Transliterator)</w:t>
            </w:r>
          </w:p>
        </w:tc>
        <w:tc>
          <w:tcPr>
            <w:tcW w:type="dxa" w:w="2755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Java-файлы записаны, имена транслитерированы</w:t>
            </w:r>
          </w:p>
        </w:tc>
        <w:tc>
          <w:tcPr>
            <w:tcW w:type="dxa" w:w="1626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Успех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