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Карта Константайна информационной системы AutoTestGenerator представлена на рис. 69. Обращения между модулями обозначены стрелками; информационные связи (передача данных и объектов) помечены символом «○», управляющие связи — символом «●», а обращения к библиотеке «Common» показаны штриховыми стрелками.</w:t>
      </w:r>
      <w:proofErr w:type="spellStart"/>
      <w:proofErr w:type="spellEnd"/>
      <w:proofErr w:type="spellStart"/>
      <w:proofErr w:type="spellEnd"/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слабым и потому предпочтительным считается сцепление по данным, при котором модули обмениваются только одиночными элементарными значениями. В разрабатываемой системе AutoTestGenerator взаимодействие между модулями осуществляется преимущественно через передачу составных объектов модели (AppModel, EntityObject, TestConfig, TestRunResult, TestCaseResult) и строк (путь к XML-файлу, SQL-запрос, имена), поэтому преобладающим видом является сцепление по образцу (stamp coupling) — передача составной структуры данных. Управляющее сцепление (control coupling) присутствует в двух связях, где передаётся управляющий признак, влияющий на логику работы вызываемого модуля: режим fastMode (UI → Generator) и уровень классификации (Generator → Model). Обращение к модулю-библиотеке «Common» (классы JavaFileWriter, Transliterator, ParserException) выполняется обычными вызовами с передачей конкретных данных и относится к сцеплению по образцу; общего сцепления (совместного использования глобальной области данных) в системе нет. Перечень межмодульных связей и виды их сцепления приведены в табл. 137, матрица сцепления — в табл. 137.1. Преобладание сцепления по образцу при отсутствии общего сцепления обеспечивает слабую связанность компонентов и повышает удобство модификации и тестирования отдельных модулей системы.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 (по межмодульным связям)</w:t>
      </w:r>
    </w:p>
    <w:tbl>
      <w:tblPr>
        <w:tblStyle w:val="110"/>
        <w:tblW w:type="pct" w:w="500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№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Связь (вызов)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Передаваемые данные и параметры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Вид сцепления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Generator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AppModel, TestConfig, fastMode</w:t>
            </w:r>
          </w:p>
        </w:tc>
        <w:tc>
          <w:tcPr>
            <w:tcW w:type="dxa" w:w="2409"/>
          </w:tcPr>
          <w:p>
            <w:pPr>
              <w:jc w:val="left"/>
            </w:pPr>
            <w:r>
              <w:t>по управлению (fastMode)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Parser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XML (путь), AppModel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Data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TestRunResult, история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4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Generator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AppModel, уровень</w:t>
            </w:r>
          </w:p>
        </w:tc>
        <w:tc>
          <w:tcPr>
            <w:tcW w:type="dxa" w:w="2409"/>
          </w:tcPr>
          <w:p>
            <w:pPr>
              <w:jc w:val="left"/>
            </w:pPr>
            <w:r>
              <w:t>по управлению (уровень)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EntityObject (Property, Search, PropertyGroup)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Data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TestCaseResult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7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Generator → Common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JavaFileWriter, Transliterator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8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 → Common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ParserException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9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Data → autotestgen.db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SQL (запрос), ResultSet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</w:tbl>
    <w:p/>
    <w:p>
      <w:pPr>
        <w:jc w:val="right"/>
      </w:pPr>
      <w:r>
        <w:rPr>
          <w:rFonts w:ascii="Times New Roman" w:hAnsi="Times New Roman" w:cs="Times New Roman" w:eastAsia="Times New Roman"/>
          <w:b w:val="0"/>
          <w:sz w:val="28"/>
        </w:rPr>
        <w:t>Таблица 137.1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Матрица сцепления модулей</w:t>
      </w:r>
    </w:p>
    <w:tbl>
      <w:tblPr>
        <w:tblStyle w:val="110"/>
        <w:tblW w:type="pct" w:w="500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Источник \ Приёмник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UI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Parser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Generator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Data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Model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Common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UI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t>Упр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Parser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Generator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t>Упр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Data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Model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Common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</w:tbl>
    <w:p>
      <w:r>
        <w:rPr>
          <w:rFonts w:ascii="Times New Roman" w:hAnsi="Times New Roman" w:cs="Times New Roman" w:eastAsia="Times New Roman"/>
          <w:b w:val="0"/>
          <w:i/>
          <w:sz w:val="24"/>
        </w:rPr>
        <w:t>Обозначения: Об — сцепление по образцу; Упр — сцепление по управлению; «—» — прямой связи нет. Обмен с хранилищем autotestgen.db (модуль Data) — по образцу. Сцепления по данным и общего сцепления в системе нет.</w:t>
      </w:r>
    </w:p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интерфейсов между компонентами;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модулей (классов);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компонентов;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автономного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компонентов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Компонент «UI» → Компонент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Компонент «UI» → Компонент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Компонент «UI» → Компонент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Компонент «UI» → Компонент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Компонент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Компонент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Компонент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Компонент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Компонент «Data» → Компонент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Компонент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Компонент «Parser» → Компонент «Common»: генерация ParserException при ошибке разбора (сцепление по образцу)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Компонент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Компонент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644DBC">
        <w:tblPrEx>
          <w:jc w:val="left"/>
        </w:tblPrEx>
        <w:tc>
          <w:tcPr>
            <w:tcW w:w="1135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3260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851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644DBC">
        <w:tblPrEx>
          <w:jc w:val="left"/>
        </w:tblPrEx>
        <w:tc>
          <w:tcPr>
            <w:tcW w:w="1135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3260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851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E04B539" w14:textId="77777777" w:rsidTr="00644DBC">
        <w:tblPrEx>
          <w:jc w:val="left"/>
        </w:tblPrEx>
        <w:tc>
          <w:tcPr>
            <w:tcW w:w="1135" w:type="dxa"/>
          </w:tcPr>
          <w:p w14:paraId="6D4F8298" w14:textId="49B01D35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E51F30A" w14:textId="045D4F60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48E576D0" w14:textId="0ABAD68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Обработка ошибки разбора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: формирование исключения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3260" w:type="dxa"/>
          </w:tcPr>
          <w:p w14:paraId="260BDB89" w14:textId="3CC53C9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некорректном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 формируется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  <w:r w:rsidRPr="00644DBC">
              <w:rPr>
                <w:sz w:val="20"/>
                <w:szCs w:val="20"/>
                <w:lang w:val="ru-RU"/>
              </w:rPr>
              <w:t xml:space="preserve"> с понятным сообщением,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2FF1E5AC" w14:textId="75B2E34B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73B946CC" w14:textId="77777777" w:rsidTr="00644DBC">
        <w:tblPrEx>
          <w:jc w:val="left"/>
        </w:tblPrEx>
        <w:tc>
          <w:tcPr>
            <w:tcW w:w="1135" w:type="dxa"/>
          </w:tcPr>
          <w:p w14:paraId="45A93F52" w14:textId="6AC69E0B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08EF111F" w14:textId="60A9F81E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56708E0E" w14:textId="73A074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Сохранение результатов прогона в локальную базу данных в рамках одной транзакции с откатом при ошибке</w:t>
            </w:r>
          </w:p>
        </w:tc>
        <w:tc>
          <w:tcPr>
            <w:tcW w:w="3260" w:type="dxa"/>
          </w:tcPr>
          <w:p w14:paraId="370686FA" w14:textId="6DB2CD16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Запись выполняется как единая транзакция; при ошибке выполняется откат, частичные данные не сохраняются, целостность БД не нарушается</w:t>
            </w:r>
          </w:p>
        </w:tc>
        <w:tc>
          <w:tcPr>
            <w:tcW w:w="851" w:type="dxa"/>
          </w:tcPr>
          <w:p w14:paraId="10750123" w14:textId="7F72C42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0A7629A" w14:textId="77777777" w:rsidTr="00644DBC">
        <w:tblPrEx>
          <w:jc w:val="left"/>
        </w:tblPrEx>
        <w:tc>
          <w:tcPr>
            <w:tcW w:w="1135" w:type="dxa"/>
          </w:tcPr>
          <w:p w14:paraId="25DDEAF6" w14:textId="058D1849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4D8B9397" w14:textId="34FE609C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EA9F8D8" w14:textId="1DCD0C94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сбое записи в базу данных (</w:t>
            </w:r>
            <w:r w:rsidRPr="00644DBC">
              <w:rPr>
                <w:sz w:val="20"/>
                <w:szCs w:val="20"/>
              </w:rPr>
              <w:t>graceful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degradation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59BC735F" w14:textId="5E683D51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Программа продолжает работу без сохранения истории прогона и уведомляет пользователя о сбое</w:t>
            </w:r>
          </w:p>
        </w:tc>
        <w:tc>
          <w:tcPr>
            <w:tcW w:w="851" w:type="dxa"/>
          </w:tcPr>
          <w:p w14:paraId="2DA2FBEC" w14:textId="60052510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183749C9" w14:textId="77777777" w:rsidTr="00644DBC">
        <w:tblPrEx>
          <w:jc w:val="left"/>
        </w:tblPrEx>
        <w:tc>
          <w:tcPr>
            <w:tcW w:w="1135" w:type="dxa"/>
          </w:tcPr>
          <w:p w14:paraId="1296B46B" w14:textId="75CCD561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3A94278A" w14:textId="03752E0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60BDBB96" w14:textId="417317AF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отсутствии вспомогательных средств (</w:t>
            </w:r>
            <w:r w:rsidRPr="00644DBC">
              <w:rPr>
                <w:sz w:val="20"/>
                <w:szCs w:val="20"/>
              </w:rPr>
              <w:t>Apache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Maven</w:t>
            </w:r>
            <w:r w:rsidRPr="00644DBC">
              <w:rPr>
                <w:sz w:val="20"/>
                <w:szCs w:val="20"/>
                <w:lang w:val="ru-RU"/>
              </w:rPr>
              <w:t xml:space="preserve">, </w:t>
            </w:r>
            <w:r w:rsidRPr="00644DBC">
              <w:rPr>
                <w:sz w:val="20"/>
                <w:szCs w:val="20"/>
              </w:rPr>
              <w:t>Google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Chrome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69D25D41" w14:textId="7760724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попытке прогона тестов выводится понятное сообщение об ошибке;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465078CE" w14:textId="4A0E237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05354ACE" w14:textId="77777777" w:rsidTr="00644DBC">
        <w:tblPrEx>
          <w:jc w:val="left"/>
        </w:tblPrEx>
        <w:tc>
          <w:tcPr>
            <w:tcW w:w="1135" w:type="dxa"/>
          </w:tcPr>
          <w:p w14:paraId="1C165A6C" w14:textId="24964F2B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20978FC4" w14:textId="26307E37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1732452" w14:textId="2D66D86D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Освобождение файловых потоков и </w:t>
            </w:r>
            <w:r w:rsidRPr="00644DBC">
              <w:rPr>
                <w:sz w:val="20"/>
                <w:szCs w:val="20"/>
              </w:rPr>
              <w:t>JDBC</w:t>
            </w:r>
            <w:r w:rsidRPr="00644DBC">
              <w:rPr>
                <w:sz w:val="20"/>
                <w:szCs w:val="20"/>
                <w:lang w:val="ru-RU"/>
              </w:rPr>
              <w:t xml:space="preserve">-соединений через конструкцию </w:t>
            </w:r>
            <w:r w:rsidRPr="00644DBC">
              <w:rPr>
                <w:sz w:val="20"/>
                <w:szCs w:val="20"/>
              </w:rPr>
              <w:t>try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with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resources</w:t>
            </w:r>
          </w:p>
        </w:tc>
        <w:tc>
          <w:tcPr>
            <w:tcW w:w="3260" w:type="dxa"/>
          </w:tcPr>
          <w:p w14:paraId="694560FC" w14:textId="5D899C45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После операций все открытые ресурсы (файлы, соединения с БД) корректно закрываются</w:t>
            </w:r>
          </w:p>
        </w:tc>
        <w:tc>
          <w:tcPr>
            <w:tcW w:w="851" w:type="dxa"/>
          </w:tcPr>
          <w:p w14:paraId="25A6A5D9" w14:textId="033CF8A2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32DAC601" w14:textId="77777777" w:rsidTr="00644DBC">
        <w:tblPrEx>
          <w:jc w:val="left"/>
        </w:tblPrEx>
        <w:tc>
          <w:tcPr>
            <w:tcW w:w="1135" w:type="dxa"/>
          </w:tcPr>
          <w:p w14:paraId="6883738F" w14:textId="2F94AD65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15F53408" w14:textId="0A92529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7AD9CCC7" w14:textId="2A76CE29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3260" w:type="dxa"/>
          </w:tcPr>
          <w:p w14:paraId="1091DF23" w14:textId="2ACFBE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При первом запуске база данных и схема создаются автоматически; история прогонов сохраняется между запусками программы</w:t>
            </w:r>
          </w:p>
        </w:tc>
        <w:tc>
          <w:tcPr>
            <w:tcW w:w="851" w:type="dxa"/>
          </w:tcPr>
          <w:p w14:paraId="472A0A52" w14:textId="7EDC8799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