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D3620">
        <w:rPr>
          <w:rFonts w:eastAsia="MS Gothic"/>
          <w:color w:val="000000"/>
          <w:sz w:val="28"/>
          <w:szCs w:val="28"/>
        </w:rPr>
        <w:t xml:space="preserve"> представлена на рис. 69.</w:t>
      </w:r>
      <w:r w:rsidRPr="000D3620">
        <w:rPr>
          <w:sz w:val="28"/>
        </w:rPr>
        <w:t xml:space="preserve"> Обращения между модулями обозначены стрелками; связи по данным помечены символом «○», связи по управлению — символом «●», а обращения к библиотеке «Common» показаны штриховыми стрелками.</w:t>
      </w:r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D3620">
        <w:rPr>
          <w:sz w:val="28"/>
        </w:rPr>
        <w:t>data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объектов модели (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) и возврат сформированных результатов. Обращение к общему модулю-библиотеке «Common» (классы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) относится к общему сцеплению (</w:t>
      </w:r>
      <w:proofErr w:type="spellStart"/>
      <w:r w:rsidRPr="000D3620">
        <w:rPr>
          <w:sz w:val="28"/>
        </w:rPr>
        <w:t>common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coupling</w:t>
      </w:r>
      <w:proofErr w:type="spellEnd"/>
      <w:r w:rsidRPr="000D3620">
        <w:rPr>
          <w:sz w:val="28"/>
        </w:rPr>
        <w:t>). Оценка сцепления модулей приведена в табл. 137.</w:t>
      </w:r>
      <w:r w:rsidR="00B57287">
        <w:rPr>
          <w:sz w:val="28"/>
        </w:rPr>
        <w:t xml:space="preserve"> </w:t>
      </w:r>
      <w:r w:rsidR="00B57287" w:rsidRPr="00B57287">
        <w:rPr>
          <w:sz w:val="28"/>
        </w:rPr>
        <w:t>Преобладание сцепления по данным способствует снижению взаимозависимости компонентов и повышает удобство модификации и тестирования отдельных модулей системы.</w:t>
      </w:r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093413E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721FD6B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4A7DA0EB" w14:textId="77777777" w:rsidR="009A5A79" w:rsidRPr="000D3620" w:rsidRDefault="009A5A79" w:rsidP="00E03000">
            <w:r w:rsidRPr="000D3620">
              <w:t>Вид сцепления</w:t>
            </w:r>
          </w:p>
        </w:tc>
      </w:tr>
      <w:tr w:rsidR="009A5A79" w:rsidRPr="000D3620" w14:paraId="40CC6D0C" w14:textId="77777777" w:rsidTr="00E03000">
        <w:tc>
          <w:tcPr>
            <w:tcW w:w="4672" w:type="dxa"/>
          </w:tcPr>
          <w:p w14:paraId="3C3ADA9D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38E192E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1E955793" w14:textId="77777777" w:rsidTr="00E03000">
        <w:tc>
          <w:tcPr>
            <w:tcW w:w="4672" w:type="dxa"/>
          </w:tcPr>
          <w:p w14:paraId="7D803EBF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3BF419FA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70C459C7" w14:textId="77777777" w:rsidTr="00E03000">
        <w:tc>
          <w:tcPr>
            <w:tcW w:w="4672" w:type="dxa"/>
          </w:tcPr>
          <w:p w14:paraId="624D6E61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F90601F" w14:textId="77777777" w:rsidR="009A5A79" w:rsidRPr="000D3620" w:rsidRDefault="009A5A79" w:rsidP="00093CFF">
            <w:r w:rsidRPr="000D3620">
              <w:t>По данным</w:t>
            </w:r>
          </w:p>
        </w:tc>
      </w:tr>
      <w:tr w:rsidR="009A5A79" w:rsidRPr="000D3620" w14:paraId="24960896" w14:textId="77777777" w:rsidTr="00E03000">
        <w:tc>
          <w:tcPr>
            <w:tcW w:w="4672" w:type="dxa"/>
          </w:tcPr>
          <w:p w14:paraId="37B5234D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B180C20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40A6FE30" w14:textId="77777777" w:rsidTr="00E03000">
        <w:tc>
          <w:tcPr>
            <w:tcW w:w="4672" w:type="dxa"/>
          </w:tcPr>
          <w:p w14:paraId="2AD4179E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259AD9EC" w14:textId="77777777" w:rsidR="009A5A79" w:rsidRPr="000D3620" w:rsidRDefault="009A5A79" w:rsidP="00093CFF">
            <w:r w:rsidRPr="000D3620">
              <w:t>По образцу</w:t>
            </w:r>
          </w:p>
        </w:tc>
      </w:tr>
      <w:tr w:rsidR="009A5A79" w:rsidRPr="000D3620" w14:paraId="63302B8A" w14:textId="77777777" w:rsidTr="00E03000">
        <w:tc>
          <w:tcPr>
            <w:tcW w:w="4672" w:type="dxa"/>
          </w:tcPr>
          <w:p w14:paraId="61724DE7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79238848" w14:textId="77777777" w:rsidR="009A5A79" w:rsidRPr="000D3620" w:rsidRDefault="009A5A79" w:rsidP="00093CFF">
            <w:r w:rsidRPr="000D3620">
              <w:t>По данным</w:t>
            </w:r>
          </w:p>
        </w:tc>
      </w:tr>
    </w:tbl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3983354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403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ChromeDriver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Драйвер управления браузером Google Chrome по протоколу WebDriver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Selenium WebDriver от сгенерированных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Управляющие воздействия на браузер Google Chrome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Google Chrome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Браузер для исполнения UI-сценариев сгенерированных автотестов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Команды ChromeDriver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HTTP-запросы к тестируемому web-приложению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Тестируемое web-приложение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Целевое web-приложение платформы E3Core, против которого выполняются UI-автотесты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HTTP-запросы автотестов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HTTP-ответы: страницы, данные форм и гридов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исходная XML-метамодель подсистемы E3Core (вход системы)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Метаданные сущностей, свойств, операций и поисков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generated-tests/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сгенерированный Maven-проект автотестов: pom.xml, общие классы (SharedDriver, BaseTest, TestData), Page Object и тест-классы JUnit 5 + Selenium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Объектная модель AppModel; конфигурация TestConfig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Исполняемые UI-автотесты на JUnit 5 + Selenium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surefire-reports/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каталог XML-отчётов Surefire с результатами прогона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Результаты выполнения тестов от Apache Maven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XML-отчёты с итогами прогона (всего/успешно/провалено)</w:t>
            </w:r>
            <w:proofErr w:type="spellStart"/>
            <w:proofErr w:type="spellEnd"/>
            <w:proofErr w:type="spellStart"/>
            <w:proofErr w:type="spellEnd"/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autotestgen.db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>Артефакт — локальная встраиваемая БД SQLite с историей прогонов</w:t>
            </w:r>
            <w:proofErr w:type="spellStart"/>
            <w:proofErr w:type="spellEnd"/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Записи о прогонах и тест-кейсах (через JDBC)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>Сохранённая история прогонов и тест-кейсов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размещения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autotestgenerator.jar (основное приложение): сквозная координация — разбор метаданных, классификация сущностей, генерация проекта, запуск прогона и сбор отчётов</w:t>
            </w:r>
            <w:proofErr w:type="spellStart"/>
            <w:proofErr w:type="spellEnd"/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>Полный цикл выполнен, сформированы результат прогона и отчёты</w:t>
            </w:r>
            <w:proofErr w:type="spellStart"/>
            <w:proofErr w:type="spellEnd"/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>Успех: цикл «разбор → генерация → прогон → отчёт» выполнен</w:t>
            </w:r>
            <w:proofErr w:type="spellStart"/>
            <w:proofErr w:type="spellEnd"/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autotestgenerator.jar ↔ javafx-controls.jar: отображение элементов управления GUI (Button, TextField, TableView, ComboBox)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Элементы управления отображены и реагируют на действия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Успех: элементы управления отображены и активны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autotestgenerator.jar ↔ javafx-fxml.jar: загрузка FXML-разметки главного окна и связывание с MainController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Разметка загружена, элементы связаны с контроллером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FXML загружен, связывание с MainController выполнено</w:t>
            </w:r>
            <w:proofErr w:type="spellStart"/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>autotestgenerator.jar ↔ sqlite-jdbc.jar: выполнение SQL-запросов (INSERT, SELECT) через JDBC-драйвер</w:t>
            </w:r>
            <w:proofErr w:type="spellStart"/>
            <w:proofErr w:type="spellEnd"/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Запросы выполнены, возвращён ResultSet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INSERT/SELECT выполнены, получен ResultSet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autotestgenerator.jar ↔ java.xml.stream: потоковый разбор XML-метамодели через StAX</w:t>
            </w:r>
            <w:proofErr w:type="spellStart"/>
            <w:proofErr w:type="spellEnd"/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Поток XMLStreamReader обработан, построена модель AppModel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модель AppModel построена потоковым парсером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autotestgenerator.jar → Apache Maven: сборка и запуск сгенерированного проекта через системный вызов mvn test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Проект собран, тесты выполнены, сформированы отчёты Surefire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проект собран, прогон выполнен через mvn test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generated-tests/ → ChromeDriver: управление браузером по протоколу Selenium WebDriver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Сессия WebDriver открыта, ChromeDriver принимает команды</w:t>
            </w:r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сессия WebDriver открыта, команды приняты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>ChromeDriver → Google Chrome: исполнение UI-сценариев автотестов в браузере</w:t>
            </w:r>
            <w:proofErr w:type="spellStart"/>
            <w:proofErr w:type="spellEnd"/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>Браузер выполняет навигацию и действия со страницей</w:t>
            </w:r>
            <w:proofErr w:type="spellStart"/>
            <w:proofErr w:type="spellEnd"/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браузер выполнил UI-сценарии</w:t>
            </w:r>
            <w:proofErr w:type="spellStart"/>
            <w:proofErr w:type="spellEnd"/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Google Chrome → Тестируемое web-приложение (E3Core) по HTTP: сквозной UI-сценарий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Получены ответы приложения, проверки CRUD и поиска пройдены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>Успех: HTTP-взаимодействие выполнено, проверки пройдены</w:t>
            </w:r>
            <w:proofErr w:type="spellStart"/>
            <w:proofErr w:type="spellEnd"/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XML-файл метамодели → autotestgenerator.jar: загрузка и разбор входного артефакта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Дерево разобранных сущностей отображено в интерфейсе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артефакт загружен, дерево сущностей отображено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autotestgenerator.jar → generated-tests/: генерация Maven-проекта автотестов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Сформированы pom.xml, общие классы, Page Object и тест-классы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Maven-проект автотестов сформирован</w:t>
            </w:r>
            <w:proofErr w:type="spellStart"/>
            <w:proofErr w:type="spellEnd"/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Apache Maven → surefire-reports/ → autotestgenerator.jar: формирование и чтение XML-отчётов Surefire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Отчёты созданы и прочитаны, подсчитана сводка «всего/успешно/провалено»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отчёты сформированы и прочитаны, сводка подсчитана</w:t>
            </w:r>
            <w:proofErr w:type="spellStart"/>
            <w:proofErr w:type="spellEnd"/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19.05.2026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autotestgenerator.jar ↔ autotestgen.db: сохранение прогона и чтение истории прогонов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 (ResultSet)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  <w:proofErr w:type="spellStart"/>
            <w:proofErr w:type="spellEnd"/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