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Карта Константайна информационной системы AutoTestGenerator представлена на рис. 69. Обращения между модулями обозначены стрелками; информационные связи (передача данных и объектов) помечены символом «○», управляющие связи — символом «●», а обращения к библиотеке «Common» показаны штриховыми стрелками.</w:t>
      </w:r>
      <w:proofErr w:type="spellStart"/>
      <w:proofErr w:type="spellEnd"/>
      <w:proofErr w:type="spellStart"/>
      <w:proofErr w:type="spellEnd"/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слабым и потому предпочтительным считается сцепление по данным, при котором модули обмениваются только одиночными элементарными значениями. В разрабатываемой системе AutoTestGenerator взаимодействие между модулями осуществляется преимущественно через передачу составных объектов модели (AppModel, EntityObject, TestConfig, TestRunResult, TestCaseResult) и строк (путь к XML-файлу, SQL-запрос, имена), поэтому преобладающим видом является сцепление по образцу (stamp coupling) — передача составной структуры данных. Управляющее сцепление (control coupling) присутствует в двух связях, где передаётся управляющий признак, влияющий на логику работы вызываемого модуля: режим fastMode (UI → Generator) и уровень классификации (Generator → Model). Обращение к модулю-библиотеке «Common» (классы JavaFileWriter, Transliterator, ParserException) выполняется обычными вызовами с передачей конкретных данных и относится к сцеплению по образцу; общего сцепления (совместного использования глобальной области данных) в системе нет. Оценка сцепления модулей приведена в табл. 137, перечень межмодульных связей — в табл. 137.1, матрица сцепления — в табл. 137.2. Преобладание сцепления по образцу при отсутствии общего сцепления обеспечивает слабую связанность компонентов и повышает удобство модификации и тестирования отдельных модулей системы.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образцу; по управлению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образцу; по управлению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образцу; по управлению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образцу</w:t>
            </w:r>
          </w:p>
        </w:tc>
      </w:tr>
    </w:tbl>
    <w:p/>
    <w:p>
      <w:pPr>
        <w:jc w:val="right"/>
      </w:pPr>
      <w:r>
        <w:rPr>
          <w:rFonts w:ascii="Times New Roman" w:hAnsi="Times New Roman" w:cs="Times New Roman" w:eastAsia="Times New Roman"/>
          <w:b w:val="0"/>
          <w:sz w:val="28"/>
        </w:rPr>
        <w:t>Таблица 137.1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Межмодульные связи (по карте Константайна)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№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Связь (вызов)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Передаваемые данные и параметры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Вид сцепления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Generator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TestConfig, fastMode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образцу; по управлению (fastMode)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Parser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XML (путь), AppModel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Data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TestRunResult, история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уровень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образцу; по управлению (уровень)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EntityObject (Property, Search, PropertyGroup)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TestCaseResult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JavaFileWriter, Transliterator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ParserException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autotestgen.db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SQL (запрос), ResultSet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</w:tbl>
    <w:p/>
    <w:p>
      <w:pPr>
        <w:jc w:val="right"/>
      </w:pPr>
      <w:r>
        <w:rPr>
          <w:rFonts w:ascii="Times New Roman" w:hAnsi="Times New Roman" w:cs="Times New Roman" w:eastAsia="Times New Roman"/>
          <w:b w:val="0"/>
          <w:sz w:val="28"/>
        </w:rPr>
        <w:t>Таблица 137.2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Матрица сцепления модулей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 \ Приёмник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Common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Об, 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Об, 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Common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</w:tbl>
    <w:p>
      <w:r>
        <w:rPr>
          <w:rFonts w:ascii="Times New Roman" w:hAnsi="Times New Roman" w:cs="Times New Roman" w:eastAsia="Times New Roman"/>
          <w:b w:val="0"/>
          <w:i/>
          <w:sz w:val="24"/>
        </w:rPr>
        <w:t>Обозначения: Об — сцепление по образцу; Упр — сцепление по управлению; «—» — прямой связи нет. Обмен с хранилищем autotestgen.db (модуль Data) — по образцу. Сцепления по данным и общего сцепления в системе нет.</w:t>
      </w:r>
    </w:p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«Parser» → Модуль «Common»: генерация ParserException при ошибке разбора (сцепление по образцу)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