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всем требованиям, изложенным в техническом задании (прил. 1): функциональным, к надёжности, к условиям эксплуатации, к составу и параметрам технических средств, к информационной и программной совместимости и к программной документации.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 xml:space="preserve">» → Модуль «Common»: генерация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 xml:space="preserve"> при ошибке разбора (общее сцепление)</w:t>
            </w:r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функциональным характеристикам (п. 1.7.2.1)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Разбор XML-метамодели формата E3Core потоковым парсером StAX с поддержкой пространств имён NS_E, NS_E3 и NS_MD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Эталонная метамодель подсистемы E3Core полностью разобрана в объектную модель AppModel: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Транслитерация русских имён сущностей и атрибутов в валидные идентификаторы языка 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Имена преобразованы в корректные Java-идентификаторы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Классификация сущностей модели по категориям PRIMARY, CHILD и REFERENCE_DICTIONARY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Каждая сущность отнесена к верной категории; результат отражён в дереве сущностей и CSV-отчёте о классификации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Maven-проекта автотестов: pom.xml, общие классы, Page Object и тест-класс JUnit 5 для каждой PRIMARY-сущности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каталоге вывода создан компилируемый Maven-проект с pom.xml, общими классами, Page Object и тест-классом для каждой PRIMARY-сущности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наличия полей формы тестируемой сущности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тест-метод, проверяющий наличие всех полей формы согласно метамодели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валидации обязательных полей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тест-метод, проверяющий вывод сообщений валидации при незаполненных обязательных полях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создания записи (CRUD: создание)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создания записи; новая запись успешно создаётся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изменения записи (CRUD: изменение)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изменения записи; внесённые изменения сохраняются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удаления записи (CRUD: удаление)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удаления записи; запись удаляется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логического удаления записи (при наличии соответствующей операции)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логического удаления; запись помечается как удалённая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архивирования записи (при наличии соответствующей операции)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архивирования; запись переводится в архив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параметрического поиска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параметрического поиска; результаты соответствуют заданным параметрам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UI-проверки отображения данных в гридах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тест-метод проверки гридов; данные отображаются в табличной форме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Запуск сгенерированных автотестов через системный вызов mvn test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Прогон автотестов запускается и выполняется до завершения; формируются XML-отчёты Surefire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 результатов прогона из XML-отчётов Surefire потоковым парсером StAX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Сохранение истории прогонов в локальную базу данных SQLite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Формирование пользовательского HTML-отчёта с фотолетописью (скриншоты на каждом шаге теста)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HTML-отчёт со скриншотами по каждому шагу выполнения тестов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Формирование CSV-выгрузки результатов прогона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Сформирован CSV-файл с результатами прогона, пригодный для импорта во внешние средства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надёжности (п. 1.7.2.2)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сообщение; некорректные действия не выполняются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Обработка ошибки разбора XML: формирование исключения ParserException с понятным сообщением без аварийного завершения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повреждённой метамодели выбрасывается ParserException с понятным сообщением; программа не завершается аварийно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Транзакционное сохранение результатов прогона в локальную базу данных с откатом при ошибке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Запись результатов выполняется в одной транзакции; при ошибке выполняется откат, данные не повреждаются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Поведение при сбое записи в базу данных (graceful degradation)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сбое БД программа продолжает работу без сохранения истории и уведомляет пользователя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Поведение при отсутствии вспомогательных средств (Apache Maven, Google Chrome) при попытке прогона тестов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Выводится понятное сообщение об ошибке; аварийного завершения программы не происходит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Освобождение файловых потоков и JDBC-соединений через конструкцию try-with-resources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Все открытые потоки и соединения корректно освобождаются; утечек ресурсов не выявлено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База данных создаётся при первом запуске и сохраняется между запусками; история доступна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условиям эксплуатации (п. 1.7.2.3)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в среде с установленным комплектом разработки JDK Java SE 17 или новее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запускается и работает при наличии JDK Java SE 17 и новее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установленной системе сборки Apache Maven 3.8 и выше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Сборка и прогон автотестов выполняются с использованием Apache Maven 3.8+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установленном браузере Google Chrome актуальной версии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UI-автотесты выполняются в браузере Google Chrome актуальной версии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главное окно с панелью параметров (XML-файл метамодели, URL сайта, логин, пароль, каталог вывода)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Главное окно отображается; все параметры доступны для ввода и принимаются программой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дерево сущностей метамодели с результатами классификации (PRIMARY, CHILD, REFERENCE_DICTIONARY)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Дерево сущностей отображается с корректной классификацией каждой сущности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таблица результатов прогона тестов (класс, метод, статус, длительность)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Таблица результатов отображает класс, метод, статус и длительность по каждому тесту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Экранная форма: журнал (история) прогонов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Журнал прогонов отображает список выполненных прогонов и их показатели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составу и параметрам технических средств (п. 1.7.2.4)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программы на процессоре с тактовой частотой не менее 2 ГГц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функционирует на процессоре с частотой 2 ГГц без недопустимых задержек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программы при объёме оперативной памяти не менее 4 ГБ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выполняет полный цикл работы при 4 ГБ ОЗУ без нехватки памяти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Функционирование при объёме свободного дискового пространства не менее 20 ГБ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Генерация проекта, отчётов и ведение базы данных выполняются в пределах 20 ГБ свободного места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интерфейса на мониторе с разрешением не менее 1024×768 точек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Интерфейс полностью отображается при разрешении 1024×768 без потери элементов управления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с интегрированной видеокартой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Графический интерфейс корректно отрисовывается на интегрированной видеокарте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Ввод данных с использованием клавиатуры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Ввод параметров и управление программой с клавиатуры выполняются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Управление программой с использованием компьютерной мыши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Навигация и выбор элементов интерфейса мышью выполняются корректно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Работа программы при наличии порта USB 2.0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Подключение периферийных устройств через порт USB 2.0 не нарушает работу программы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информационной и программной совместимости (п. 1.7.2.5)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Совместимость программы с операционной системой Windows 10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корректно устанавливается и работает в среде Windows 10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комплектом разработки Java SE 17 или новее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Программа исполняется на Java SE 17 и новее без ошибок совместимости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системой сборки Apache Maven 3.8 и выше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Сборка и прогон автотестов совместимы с Apache Maven 3.8+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Программная совместимость с браузером Google Chrome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UI-автотесты совместимы с Google Chrome; несовместимости не выявлены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9493" w:type="dxa"/>
            <w:gridSpan w:val="5"/>
          </w:tcPr>
          <w:p w14:paraId="3D3D5CC9" w14:textId="123F8E5A" w:rsidR="00C07A6B" w:rsidRPr="000D3620" w:rsidRDefault="00C07A6B" w:rsidP="00C07A6B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Требования к программной документации (п. 1.7.2.6)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расчётно-пояснительной записки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Расчётно-пояснительная записка присутствует и оформлена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технического задания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Техническое задание присутствует и оформлено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текста программы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Текст программы присутствует и оформлен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спецификации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Спецификация присутствует и оформлена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Наличие и оформление руководства пользователя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Руководство пользователя присутствует и оформлено в соответствии с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22.05.2026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Соответствие комплекта программной документации требованиям ЕСПД (полнота и правильность оформления)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Комплект программной документации полон и оформлен в соответствии с требованиями ЕСПД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Требования к условиям эксплуатации, к составу и параметрам технических средств, к информационной и программной совместимости и к программной документации также проверены и выполнены: программа функционирует в установленной программной среде (Windows 10, JDK Java SE 17, Apache Maven 3.8 и Google Chrome) на технических средствах минимальной конфигурации, предоставляет все предусмотренные экранные формы графического интерфейса, совместима с указанным программным обеспечением, а комплект программной документации оформлен в соответствии с требованиями ЕСПД.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