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A19B3D" w14:textId="77777777" w:rsidR="00B16651" w:rsidRDefault="00B16651" w:rsidP="00B16651">
      <w:pPr>
        <w:autoSpaceDE w:val="0"/>
        <w:autoSpaceDN w:val="0"/>
        <w:adjustRightInd w:val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МИНИСТЕРСТВО НАУКИ И ВЫСШЕГО ОБРАЗОВАНИЯ РОССИЙСКОЙ ФЕДЕРАЦИИ ФЕДЕРАЛЬНОЕ ГОСУДАРСТВЕННОЕ АВТОНОМНОЕ ОБРАЗОВАТЕЛЬНОЕ УЧРЕЖДЕНИЕ ВЫСШЕГО ОБРАЗОВАНИЯ</w:t>
      </w:r>
    </w:p>
    <w:p w14:paraId="50CD2A4F" w14:textId="77777777" w:rsidR="00B16651" w:rsidRDefault="00B16651" w:rsidP="00B16651">
      <w:pPr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 xml:space="preserve">«МОСКОВСКИЙ ПОЛИТЕХНИЧЕСКИЙ УНИВЕРСИТЕТ» </w:t>
      </w:r>
    </w:p>
    <w:p w14:paraId="5A857E7F" w14:textId="0186D260" w:rsidR="00B16651" w:rsidRPr="00B16651" w:rsidRDefault="00B16651" w:rsidP="00B16651">
      <w:pPr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 xml:space="preserve">(МОСКОВСКИЙ ПОЛИТЕХ) </w:t>
      </w:r>
      <w:r>
        <w:rPr>
          <w:rFonts w:cs="Times New Roman"/>
          <w:color w:val="000000"/>
          <w:szCs w:val="28"/>
        </w:rPr>
        <w:t> </w:t>
      </w:r>
    </w:p>
    <w:p w14:paraId="4E52AEB8" w14:textId="77777777" w:rsidR="00B16651" w:rsidRDefault="00B16651" w:rsidP="00B16651">
      <w:pPr>
        <w:autoSpaceDE w:val="0"/>
        <w:autoSpaceDN w:val="0"/>
        <w:adjustRightInd w:val="0"/>
        <w:spacing w:after="213" w:line="313" w:lineRule="atLeast"/>
        <w:ind w:firstLine="755"/>
        <w:rPr>
          <w:rFonts w:ascii="Helvetica" w:hAnsi="Helvetica" w:cs="Helvetica"/>
          <w:color w:val="000000"/>
          <w:szCs w:val="28"/>
        </w:rPr>
      </w:pPr>
      <w:r>
        <w:rPr>
          <w:rFonts w:ascii="Helvetica" w:hAnsi="Helvetica" w:cs="Helvetica"/>
          <w:color w:val="000000"/>
          <w:szCs w:val="28"/>
        </w:rPr>
        <w:t> </w:t>
      </w:r>
    </w:p>
    <w:p w14:paraId="5505A7DA" w14:textId="5BBB0AB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rPr>
          <w:rFonts w:ascii="Helvetica" w:hAnsi="Helvetica" w:cs="Helvetica"/>
          <w:color w:val="000000"/>
          <w:szCs w:val="28"/>
        </w:rPr>
      </w:pPr>
      <w:r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CF8FA28" wp14:editId="0F7A23C6">
            <wp:simplePos x="0" y="0"/>
            <wp:positionH relativeFrom="column">
              <wp:posOffset>953770</wp:posOffset>
            </wp:positionH>
            <wp:positionV relativeFrom="paragraph">
              <wp:posOffset>226060</wp:posOffset>
            </wp:positionV>
            <wp:extent cx="3674745" cy="927100"/>
            <wp:effectExtent l="0" t="0" r="1905" b="6350"/>
            <wp:wrapNone/>
            <wp:docPr id="986784275" name="Рисунок 2" descr="Картинки по запросу &quot;московский политех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Картинки по запросу &quot;московский политех&quo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92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color w:val="000000"/>
          <w:szCs w:val="28"/>
        </w:rPr>
        <w:t> </w:t>
      </w:r>
    </w:p>
    <w:p w14:paraId="55053C52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center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 </w:t>
      </w:r>
    </w:p>
    <w:p w14:paraId="44E805BB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center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 </w:t>
      </w:r>
    </w:p>
    <w:p w14:paraId="1430BF03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center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 </w:t>
      </w:r>
    </w:p>
    <w:p w14:paraId="2D1C9508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center"/>
        <w:rPr>
          <w:rFonts w:cs="Times New Roman"/>
          <w:color w:val="000000"/>
          <w:szCs w:val="28"/>
        </w:rPr>
      </w:pPr>
    </w:p>
    <w:p w14:paraId="3C8E1D90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center"/>
        <w:rPr>
          <w:rFonts w:cs="Times New Roman"/>
          <w:color w:val="000000"/>
          <w:szCs w:val="28"/>
        </w:rPr>
      </w:pPr>
    </w:p>
    <w:p w14:paraId="78BAAC88" w14:textId="2C416719" w:rsidR="00B16651" w:rsidRDefault="00B16651" w:rsidP="00B16651">
      <w:pPr>
        <w:autoSpaceDE w:val="0"/>
        <w:autoSpaceDN w:val="0"/>
        <w:adjustRightInd w:val="0"/>
        <w:spacing w:line="399" w:lineRule="atLeast"/>
        <w:ind w:firstLine="0"/>
        <w:rPr>
          <w:rFonts w:ascii="Helvetica" w:hAnsi="Helvetica" w:cs="Helvetica"/>
          <w:color w:val="000000"/>
          <w:szCs w:val="28"/>
        </w:rPr>
      </w:pPr>
    </w:p>
    <w:p w14:paraId="2C79C8EE" w14:textId="5A692B4C" w:rsidR="00B16651" w:rsidRDefault="00652641" w:rsidP="00B16651">
      <w:pPr>
        <w:autoSpaceDE w:val="0"/>
        <w:autoSpaceDN w:val="0"/>
        <w:adjustRightInd w:val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ОТЧЕТ ПО ЛАБОРАТОРНОЙ РАБОТЕ №5</w:t>
      </w:r>
    </w:p>
    <w:p w14:paraId="571E1F1D" w14:textId="77777777" w:rsidR="00B16651" w:rsidRDefault="00B16651" w:rsidP="00B16651">
      <w:pPr>
        <w:autoSpaceDE w:val="0"/>
        <w:autoSpaceDN w:val="0"/>
        <w:adjustRightInd w:val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«Математические методы анализа данных. </w:t>
      </w:r>
    </w:p>
    <w:p w14:paraId="3D55639E" w14:textId="119C82E8" w:rsidR="00B16651" w:rsidRDefault="00B16651" w:rsidP="00B16651">
      <w:pPr>
        <w:autoSpaceDE w:val="0"/>
        <w:autoSpaceDN w:val="0"/>
        <w:adjustRightInd w:val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Структуры статистических данных» </w:t>
      </w:r>
    </w:p>
    <w:p w14:paraId="3C56B069" w14:textId="19B55D55" w:rsidR="00CB2E36" w:rsidRDefault="00CB2E36" w:rsidP="00B16651">
      <w:pPr>
        <w:autoSpaceDE w:val="0"/>
        <w:autoSpaceDN w:val="0"/>
        <w:adjustRightInd w:val="0"/>
        <w:jc w:val="center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По теме:</w:t>
      </w:r>
    </w:p>
    <w:p w14:paraId="6BAFC08A" w14:textId="01A65845" w:rsidR="005C3E4D" w:rsidRPr="005C3E4D" w:rsidRDefault="00CB2E36" w:rsidP="00CB2E36">
      <w:pPr>
        <w:autoSpaceDE w:val="0"/>
        <w:autoSpaceDN w:val="0"/>
        <w:adjustRightInd w:val="0"/>
        <w:jc w:val="center"/>
        <w:rPr>
          <w:rFonts w:cs="Times New Roman"/>
          <w:color w:val="000000"/>
        </w:rPr>
      </w:pPr>
      <w:r>
        <w:rPr>
          <w:rFonts w:cs="Times New Roman"/>
        </w:rPr>
        <w:t>«</w:t>
      </w:r>
      <w:r w:rsidR="005C3E4D" w:rsidRPr="005C3E4D">
        <w:rPr>
          <w:rFonts w:cs="Times New Roman"/>
        </w:rPr>
        <w:t xml:space="preserve">Моделирование экономических ожиданий и принятия решений с использованием больших языковых моделей как когнитивных агентов в </w:t>
      </w:r>
      <w:proofErr w:type="spellStart"/>
      <w:r w:rsidR="005C3E4D" w:rsidRPr="005C3E4D">
        <w:rPr>
          <w:rFonts w:cs="Times New Roman"/>
        </w:rPr>
        <w:t>агентно</w:t>
      </w:r>
      <w:proofErr w:type="spellEnd"/>
      <w:r w:rsidR="005C3E4D" w:rsidRPr="005C3E4D">
        <w:rPr>
          <w:rFonts w:cs="Times New Roman"/>
        </w:rPr>
        <w:t>-ориентированных симуляциях</w:t>
      </w:r>
      <w:r w:rsidR="00E149D6">
        <w:rPr>
          <w:rFonts w:cs="Times New Roman"/>
        </w:rPr>
        <w:t>»</w:t>
      </w:r>
    </w:p>
    <w:p w14:paraId="0FDB84D6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 </w:t>
      </w:r>
    </w:p>
    <w:p w14:paraId="1E151A26" w14:textId="117E102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 </w:t>
      </w:r>
    </w:p>
    <w:p w14:paraId="2A98ECB6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Выполнил:</w:t>
      </w:r>
      <w:r>
        <w:rPr>
          <w:rFonts w:cs="Times New Roman"/>
          <w:color w:val="149FEC"/>
          <w:szCs w:val="28"/>
        </w:rPr>
        <w:t xml:space="preserve"> </w:t>
      </w:r>
    </w:p>
    <w:p w14:paraId="47BDD1D7" w14:textId="014C5AF3" w:rsidR="00B16651" w:rsidRDefault="00ED502F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Андриянова А.А.</w:t>
      </w:r>
    </w:p>
    <w:p w14:paraId="58280922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Группа: </w:t>
      </w:r>
    </w:p>
    <w:p w14:paraId="12F34A00" w14:textId="331CD962" w:rsidR="00B16651" w:rsidRDefault="00ED502F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23</w:t>
      </w:r>
      <w:r w:rsidR="00B16651">
        <w:rPr>
          <w:rFonts w:cs="Times New Roman"/>
          <w:color w:val="000000"/>
          <w:szCs w:val="28"/>
        </w:rPr>
        <w:t>1–361</w:t>
      </w:r>
    </w:p>
    <w:p w14:paraId="1A6AA404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  </w:t>
      </w:r>
    </w:p>
    <w:p w14:paraId="0822E1E8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>Проверили:</w:t>
      </w:r>
    </w:p>
    <w:p w14:paraId="3D413A74" w14:textId="0EAA6D64" w:rsidR="00B16651" w:rsidRDefault="00831F1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ascii="Helvetica" w:hAnsi="Helvetica" w:cs="Helvetica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Баринова </w:t>
      </w:r>
      <w:r w:rsidR="0088769D">
        <w:rPr>
          <w:rFonts w:cs="Times New Roman"/>
          <w:color w:val="000000"/>
          <w:szCs w:val="28"/>
        </w:rPr>
        <w:t>Н. В</w:t>
      </w:r>
      <w:r w:rsidR="00B16651">
        <w:rPr>
          <w:rFonts w:cs="Times New Roman"/>
          <w:color w:val="000000"/>
          <w:szCs w:val="28"/>
        </w:rPr>
        <w:t>.</w:t>
      </w:r>
    </w:p>
    <w:p w14:paraId="0A6C3E53" w14:textId="77777777" w:rsidR="00B16651" w:rsidRDefault="00B16651" w:rsidP="00B16651">
      <w:pPr>
        <w:autoSpaceDE w:val="0"/>
        <w:autoSpaceDN w:val="0"/>
        <w:adjustRightInd w:val="0"/>
        <w:spacing w:line="399" w:lineRule="atLeast"/>
        <w:ind w:firstLine="755"/>
        <w:jc w:val="right"/>
        <w:rPr>
          <w:rFonts w:cs="Times New Roman"/>
          <w:color w:val="000000"/>
          <w:szCs w:val="28"/>
        </w:rPr>
      </w:pPr>
      <w:proofErr w:type="spellStart"/>
      <w:r>
        <w:rPr>
          <w:rFonts w:cs="Times New Roman"/>
          <w:color w:val="000000"/>
          <w:szCs w:val="28"/>
        </w:rPr>
        <w:t>Бритвина</w:t>
      </w:r>
      <w:proofErr w:type="spellEnd"/>
      <w:r>
        <w:rPr>
          <w:rFonts w:cs="Times New Roman"/>
          <w:color w:val="000000"/>
          <w:szCs w:val="28"/>
        </w:rPr>
        <w:t xml:space="preserve"> В. В.</w:t>
      </w:r>
    </w:p>
    <w:p w14:paraId="76E616C2" w14:textId="140FEEE1" w:rsidR="007B172E" w:rsidRDefault="007B172E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</w:p>
    <w:p w14:paraId="2C7EA49E" w14:textId="77777777" w:rsidR="00B16651" w:rsidRDefault="00B16651">
      <w:pPr>
        <w:spacing w:after="160" w:line="259" w:lineRule="auto"/>
        <w:ind w:firstLine="0"/>
        <w:jc w:val="left"/>
        <w:rPr>
          <w:rFonts w:cs="Times New Roman"/>
          <w:b/>
          <w:bCs/>
          <w:caps/>
          <w:szCs w:val="28"/>
        </w:rPr>
      </w:pPr>
      <w:bookmarkStart w:id="0" w:name="_Toc135576126"/>
      <w:bookmarkStart w:id="1" w:name="_Toc135870568"/>
      <w:r>
        <w:br w:type="page"/>
      </w:r>
    </w:p>
    <w:bookmarkEnd w:id="0"/>
    <w:bookmarkEnd w:id="1"/>
    <w:p w14:paraId="02DC36B6" w14:textId="77777777" w:rsidR="00652641" w:rsidRPr="00652641" w:rsidRDefault="00652641" w:rsidP="00652641">
      <w:pPr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ВВЕДЕНИЕ</w:t>
      </w:r>
    </w:p>
    <w:p w14:paraId="552BA574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Транспортная система России – одна из крупнейших в мире, а грузовые перевозки служат кровеносной системой экономики. От того, как грузы распределяются между железнодорожным, автомобильным, водным, воздушным и трубопроводным транспортом, зависят издержки производства, цены товаров и региональная связанность. Однако выбор способа перевозки всё чаще определяется не только объективными факторами – тарифами, расстояниями, скоростью, – но и экономическими ожиданиями участников рынка: как поведут себя цены на топливо, изменится ли платёжеспособный спрос, какие регуляторные решения примет государство. В последние годы для моделирования таких ожиданий и принятия решений начинают использоваться большие языковые модели (LLM), способные имитировать когнитивные процессы человека-агента.</w:t>
      </w:r>
    </w:p>
    <w:p w14:paraId="06773BF9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Актуальность проекта состоит в том, что традиционные экономические модели часто опираются на предположение о рациональности и полной информированности, тогда как реальные перевозчики и грузоотправители действуют в условиях неопределённости, обрабатывая огромные объёмы новостной и статистической информации. LLM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 xml:space="preserve">агенты открывают возможность встроить в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-ориентированные симуляции механизм формирования ожиданий, близкий к человеческому: анализ текстов, выделение значимых сигналов, адаптация стратегий. Это позволяет точнее прогнозировать объёмы и структуру грузоперевозок, особенно в периоды экономических шоков.</w:t>
      </w:r>
    </w:p>
    <w:p w14:paraId="274467FF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Применение методов эконометрического и имитационного моделирования к транспортным данным Росстата даёт возможность перейти от обобщённых трендов к количественным оценкам влияния ожиданий на реальные транспортные потоки. В данной работе такая попытка предпринята на примере перевозок грузов по видам транспорта в Российской Федерации.</w:t>
      </w:r>
    </w:p>
    <w:p w14:paraId="06565F62" w14:textId="77777777" w:rsidR="00652641" w:rsidRPr="00652641" w:rsidRDefault="00652641" w:rsidP="002D7719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ЦЕЛЬ И ЗАДАЧИ ИССЛЕДОВАНИЯ</w:t>
      </w:r>
    </w:p>
    <w:p w14:paraId="3A95D97D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 разработать эконометрическую и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-ориентированную имитационную модель, в которой большая языковая модель выступает в роли когнитивного агента, формирующего экономические ожидания и принимающего решения о выборе вида транспорта для грузовых перевозок, и оценить влияние таких ожиданий на агрегированные показатели.</w:t>
      </w:r>
    </w:p>
    <w:p w14:paraId="21C574AB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Задачи:</w:t>
      </w:r>
    </w:p>
    <w:p w14:paraId="2F1978F2" w14:textId="77777777" w:rsidR="00652641" w:rsidRPr="00652641" w:rsidRDefault="00652641" w:rsidP="00652641">
      <w:pPr>
        <w:numPr>
          <w:ilvl w:val="0"/>
          <w:numId w:val="30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Выполнить анализ существующих подходов к моделированию ожиданий и принятия решений в транспортной экономике с участием LLM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агентов.</w:t>
      </w:r>
    </w:p>
    <w:p w14:paraId="7F41B7EC" w14:textId="77777777" w:rsidR="00652641" w:rsidRPr="00652641" w:rsidRDefault="00652641" w:rsidP="00652641">
      <w:pPr>
        <w:numPr>
          <w:ilvl w:val="0"/>
          <w:numId w:val="30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Разработать математическую модель выбора вида транспорта грузоотправителем на основе ожидаемых экономических параметров.</w:t>
      </w:r>
    </w:p>
    <w:p w14:paraId="1739DB0A" w14:textId="77777777" w:rsidR="00652641" w:rsidRPr="00652641" w:rsidRDefault="00652641" w:rsidP="00652641">
      <w:pPr>
        <w:numPr>
          <w:ilvl w:val="0"/>
          <w:numId w:val="30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Построить имитационную (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-ориентированную) модель, где решения агентов формируются с помощью имитации ответов LLM.</w:t>
      </w:r>
    </w:p>
    <w:p w14:paraId="2194BD51" w14:textId="77777777" w:rsidR="00652641" w:rsidRPr="00652641" w:rsidRDefault="00652641" w:rsidP="00652641">
      <w:pPr>
        <w:numPr>
          <w:ilvl w:val="0"/>
          <w:numId w:val="30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Проверить работоспособность и чувствительность разработанных моделей на данных Росстата.</w:t>
      </w:r>
    </w:p>
    <w:p w14:paraId="622F861E" w14:textId="77777777" w:rsidR="00652641" w:rsidRPr="00652641" w:rsidRDefault="00652641" w:rsidP="00652641">
      <w:pPr>
        <w:numPr>
          <w:ilvl w:val="0"/>
          <w:numId w:val="30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Подготовить рекомендации по практическому использованию моделей.</w:t>
      </w:r>
    </w:p>
    <w:p w14:paraId="053EA7A2" w14:textId="6920197F" w:rsidR="00755045" w:rsidRPr="00755045" w:rsidRDefault="00652641" w:rsidP="002D7719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АНАЛИЗ ПРЕДМЕТНОЙ ОБЛАСТИ</w:t>
      </w:r>
    </w:p>
    <w:p w14:paraId="02C40DA8" w14:textId="2CEAF5C9" w:rsidR="00755045" w:rsidRDefault="00755045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8769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Для </w:t>
      </w:r>
      <w:r w:rsidR="00BC3E4F" w:rsidRPr="0088769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проведения анализа был выбран </w:t>
      </w:r>
      <w:proofErr w:type="spellStart"/>
      <w:r w:rsidR="00BC3E4F" w:rsidRPr="0088769D">
        <w:rPr>
          <w:rFonts w:eastAsia="Times New Roman" w:cs="Times New Roman"/>
          <w:color w:val="0F1115"/>
          <w:sz w:val="24"/>
          <w:szCs w:val="24"/>
          <w:lang w:eastAsia="ru-RU"/>
        </w:rPr>
        <w:t>датасет</w:t>
      </w:r>
      <w:proofErr w:type="spellEnd"/>
      <w:r w:rsidR="00BC3E4F" w:rsidRPr="0088769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из транспортной области на тему «</w:t>
      </w:r>
      <w:r w:rsidR="00BC3E4F" w:rsidRPr="0088769D">
        <w:rPr>
          <w:bCs/>
          <w:color w:val="000000"/>
          <w:sz w:val="24"/>
          <w:szCs w:val="24"/>
          <w:shd w:val="clear" w:color="auto" w:fill="FFFFFF"/>
        </w:rPr>
        <w:t>Перевозки грузов по видам транспорта</w:t>
      </w:r>
      <w:r w:rsidR="00BC3E4F" w:rsidRPr="00BC3E4F">
        <w:rPr>
          <w:bCs/>
          <w:color w:val="000000"/>
          <w:sz w:val="27"/>
          <w:szCs w:val="27"/>
          <w:shd w:val="clear" w:color="auto" w:fill="FFFFFF"/>
        </w:rPr>
        <w:t xml:space="preserve"> </w:t>
      </w:r>
      <w:r w:rsidR="00BC3E4F" w:rsidRPr="0088769D">
        <w:rPr>
          <w:bCs/>
          <w:color w:val="000000"/>
          <w:sz w:val="24"/>
          <w:szCs w:val="24"/>
          <w:shd w:val="clear" w:color="auto" w:fill="FFFFFF"/>
        </w:rPr>
        <w:t>по Российской Федерации</w:t>
      </w:r>
      <w:r w:rsidR="00BC3E4F" w:rsidRPr="0088769D">
        <w:rPr>
          <w:rFonts w:eastAsia="Times New Roman" w:cs="Times New Roman"/>
          <w:color w:val="0F1115"/>
          <w:sz w:val="24"/>
          <w:szCs w:val="24"/>
          <w:lang w:eastAsia="ru-RU"/>
        </w:rPr>
        <w:t>»</w:t>
      </w:r>
      <w:r w:rsidR="004B515F">
        <w:rPr>
          <w:rFonts w:eastAsia="Times New Roman" w:cs="Times New Roman"/>
          <w:color w:val="0F1115"/>
          <w:sz w:val="24"/>
          <w:szCs w:val="24"/>
          <w:lang w:eastAsia="ru-RU"/>
        </w:rPr>
        <w:t>, иллюстрация представлена на рисунке 1</w:t>
      </w:r>
      <w:r w:rsidR="002D7719" w:rsidRPr="0088769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 Данные взяты с сайте Росстата </w:t>
      </w:r>
      <w:hyperlink r:id="rId12" w:history="1">
        <w:r w:rsidR="0088769D" w:rsidRPr="0088769D">
          <w:rPr>
            <w:rStyle w:val="af3"/>
            <w:rFonts w:eastAsia="Times New Roman" w:cs="Times New Roman"/>
            <w:sz w:val="24"/>
            <w:szCs w:val="24"/>
            <w:lang w:eastAsia="ru-RU"/>
          </w:rPr>
          <w:t>https://rosstat.gov.ru/statistics/transport</w:t>
        </w:r>
      </w:hyperlink>
      <w:r w:rsidR="002D7719" w:rsidRPr="0088769D">
        <w:rPr>
          <w:rFonts w:eastAsia="Times New Roman" w:cs="Times New Roman"/>
          <w:color w:val="0F1115"/>
          <w:sz w:val="24"/>
          <w:szCs w:val="24"/>
          <w:lang w:eastAsia="ru-RU"/>
        </w:rPr>
        <w:t>.</w:t>
      </w:r>
      <w:r w:rsidR="0088769D" w:rsidRPr="0088769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</w:p>
    <w:p w14:paraId="4CE3FA9B" w14:textId="05DC0F95" w:rsidR="004B515F" w:rsidRDefault="004B515F" w:rsidP="004B515F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3D6F7375" wp14:editId="651BE763">
            <wp:extent cx="5939790" cy="1819275"/>
            <wp:effectExtent l="19050" t="19050" r="2286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4E80AC" w14:textId="10073029" w:rsidR="004B515F" w:rsidRPr="0088769D" w:rsidRDefault="004B515F" w:rsidP="004B515F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4"/>
          <w:szCs w:val="24"/>
          <w:lang w:eastAsia="ru-RU"/>
        </w:rPr>
        <w:t>Рисунок 1 – Исходные данные</w:t>
      </w:r>
    </w:p>
    <w:p w14:paraId="2FBAD92C" w14:textId="69A890B3" w:rsidR="00652641" w:rsidRPr="0088769D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8769D">
        <w:rPr>
          <w:rFonts w:eastAsia="Times New Roman" w:cs="Times New Roman"/>
          <w:color w:val="0F1115"/>
          <w:sz w:val="24"/>
          <w:szCs w:val="24"/>
          <w:lang w:eastAsia="ru-RU"/>
        </w:rPr>
        <w:t>Для решения поставленных задач были рассмотрены основные методы моделирования транспортного спроса и экономических ожиданий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а также подходы к </w:t>
      </w:r>
      <w:r w:rsidRPr="0088769D">
        <w:rPr>
          <w:rFonts w:eastAsia="Times New Roman" w:cs="Times New Roman"/>
          <w:color w:val="0F1115"/>
          <w:sz w:val="24"/>
          <w:szCs w:val="24"/>
          <w:lang w:eastAsia="ru-RU"/>
        </w:rPr>
        <w:t>интеграции больших языковых моделей в качестве когнитивных агентов.</w:t>
      </w:r>
    </w:p>
    <w:p w14:paraId="2E2A33F1" w14:textId="77777777" w:rsidR="00652641" w:rsidRPr="004B08E0" w:rsidRDefault="00652641" w:rsidP="004B08E0">
      <w:pPr>
        <w:pStyle w:val="a0"/>
        <w:numPr>
          <w:ilvl w:val="0"/>
          <w:numId w:val="35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Агрегированные эконометрические модели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 (ARIMA, SARIMA, VEC) традиционно применяются для прогнозирования временных рядов грузооборота по видам транспорта. Они хорошо описывают инерцию системы, однако не раскрывают микроэкономических мотивов выбора перевозчика и слабо учитывают изменения в ожиданиях, вызванные новостным фоном.</w:t>
      </w:r>
    </w:p>
    <w:p w14:paraId="24177EEB" w14:textId="77777777" w:rsidR="00652641" w:rsidRPr="004B08E0" w:rsidRDefault="00652641" w:rsidP="004B08E0">
      <w:pPr>
        <w:pStyle w:val="a0"/>
        <w:numPr>
          <w:ilvl w:val="0"/>
          <w:numId w:val="35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Дискретный выбор и </w:t>
      </w:r>
      <w:proofErr w:type="spellStart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мультиномиальная</w:t>
      </w:r>
      <w:proofErr w:type="spellEnd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логит</w:t>
      </w:r>
      <w:proofErr w:type="spellEnd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-модель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 (MNL) широко используются для анализа предпочтений агентов между альтернативами (железнодорожный, автомобильный транспорт и т. д.) на основе наблюдаемых атрибутов – тарифов, времени доставки, надёжности. Ожидания в таких моделях обычно задаются экстраполяцией прошлых трендов, что упрощает реальность.</w:t>
      </w:r>
    </w:p>
    <w:p w14:paraId="346CB319" w14:textId="77777777" w:rsidR="00652641" w:rsidRPr="004B08E0" w:rsidRDefault="00652641" w:rsidP="004B08E0">
      <w:pPr>
        <w:pStyle w:val="a0"/>
        <w:numPr>
          <w:ilvl w:val="0"/>
          <w:numId w:val="35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proofErr w:type="spellStart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Агентно</w:t>
      </w:r>
      <w:proofErr w:type="spellEnd"/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-ориентированное моделирование (ABM)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 позволяет симулировать поведение множества независимых грузоотправителей с ограниченной рациональностью. Когнитивные способности агентов традиционно реализуются через набор правил или простые обучающиеся алгоритмы. С появлением LLM появилась возможность заменить жёсткие правила на гибкого агента, который «читает» новости и формирует субъективные ожидания, подобно человеку.</w:t>
      </w:r>
    </w:p>
    <w:p w14:paraId="491F82A0" w14:textId="77777777" w:rsidR="00652641" w:rsidRPr="004B08E0" w:rsidRDefault="00652641" w:rsidP="004B08E0">
      <w:pPr>
        <w:pStyle w:val="a0"/>
        <w:numPr>
          <w:ilvl w:val="0"/>
          <w:numId w:val="35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4B08E0">
        <w:rPr>
          <w:rFonts w:eastAsia="Times New Roman" w:cs="Times New Roman"/>
          <w:bCs/>
          <w:color w:val="0F1115"/>
          <w:sz w:val="24"/>
          <w:szCs w:val="24"/>
          <w:lang w:eastAsia="ru-RU"/>
        </w:rPr>
        <w:t>Большие языковые модели как когнитивные агенты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 xml:space="preserve"> – направление, в котором LLM (GPT, </w:t>
      </w:r>
      <w:proofErr w:type="spellStart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LLaMA</w:t>
      </w:r>
      <w:proofErr w:type="spellEnd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YandexGPT</w:t>
      </w:r>
      <w:proofErr w:type="spellEnd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 др.) используются для генерации экономических суждений, прогнозов и решений в симулированной среде. Исследования показывают, что 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lastRenderedPageBreak/>
        <w:t>LLM</w:t>
      </w:r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 xml:space="preserve">агенты могут воспроизводить поведенческие эффекты, </w:t>
      </w:r>
      <w:proofErr w:type="spellStart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>фрейминг</w:t>
      </w:r>
      <w:proofErr w:type="spellEnd"/>
      <w:r w:rsidRPr="004B08E0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 неполную рациональность, что делает их перспективными для ABM транспорта.</w:t>
      </w:r>
    </w:p>
    <w:p w14:paraId="58E304F9" w14:textId="77777777" w:rsidR="00652641" w:rsidRPr="0088769D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8769D">
        <w:rPr>
          <w:rFonts w:eastAsia="Times New Roman" w:cs="Times New Roman"/>
          <w:color w:val="0F1115"/>
          <w:sz w:val="24"/>
          <w:szCs w:val="24"/>
          <w:lang w:eastAsia="ru-RU"/>
        </w:rPr>
        <w:t>Сравнительная характеристика рассмотренных методов приведена в таблице 1.</w:t>
      </w:r>
    </w:p>
    <w:p w14:paraId="18429DED" w14:textId="77777777" w:rsidR="00652641" w:rsidRPr="0088769D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8769D">
        <w:rPr>
          <w:rFonts w:eastAsia="Times New Roman" w:cs="Times New Roman"/>
          <w:bCs/>
          <w:color w:val="0F1115"/>
          <w:sz w:val="24"/>
          <w:szCs w:val="24"/>
          <w:lang w:eastAsia="ru-RU"/>
        </w:rPr>
        <w:t>Таблица 1 – Сравнительный анализ методов моделирования транспортных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076"/>
        <w:gridCol w:w="1848"/>
        <w:gridCol w:w="1674"/>
        <w:gridCol w:w="1729"/>
      </w:tblGrid>
      <w:tr w:rsidR="00652641" w:rsidRPr="00652641" w14:paraId="132E6411" w14:textId="77777777" w:rsidTr="006526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3BED" w14:textId="77777777" w:rsidR="00652641" w:rsidRPr="00652641" w:rsidRDefault="00652641" w:rsidP="00E23D29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4E119" w14:textId="77777777" w:rsidR="00652641" w:rsidRPr="00652641" w:rsidRDefault="00652641" w:rsidP="00E23D29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Эконометрические модели временных рядов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C2212" w14:textId="77777777" w:rsidR="00652641" w:rsidRPr="00652641" w:rsidRDefault="00652641" w:rsidP="00E23D29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Дискретный выбор (MNL)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3E9E7" w14:textId="77777777" w:rsidR="00652641" w:rsidRPr="00652641" w:rsidRDefault="00652641" w:rsidP="00E23D29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Классическое ABM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1138" w14:textId="77777777" w:rsidR="00652641" w:rsidRPr="00652641" w:rsidRDefault="00652641" w:rsidP="00E23D29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ABM с LLM</w:t>
            </w: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noBreakHyphen/>
              <w:t>агентами</w:t>
            </w:r>
          </w:p>
        </w:tc>
      </w:tr>
      <w:tr w:rsidR="00652641" w:rsidRPr="00652641" w14:paraId="3FC20191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1A807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Учёт ожиданий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81C2A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Только через лаговые переменные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D4868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Примитивные (экстраполяция)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8CC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Жёсткие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B32F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Гибкое формирование на основе текстов</w:t>
            </w:r>
          </w:p>
        </w:tc>
      </w:tr>
      <w:tr w:rsidR="00652641" w:rsidRPr="00652641" w14:paraId="70701EBC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FC4F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Реалистичность принятия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140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A31C5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4306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0BC99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Высокая (когнитивная близость)</w:t>
            </w:r>
          </w:p>
        </w:tc>
      </w:tr>
      <w:tr w:rsidR="00652641" w:rsidRPr="00652641" w14:paraId="7F4018A1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7F46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Требования к данным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FE3D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Только числовые ряды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42B33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Числовые атрибуты альтернатив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107B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Микроданные</w:t>
            </w:r>
            <w:proofErr w:type="spellEnd"/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и правила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71292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Микроданные</w:t>
            </w:r>
            <w:proofErr w:type="spellEnd"/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+ текстовые источники</w:t>
            </w:r>
          </w:p>
        </w:tc>
      </w:tr>
      <w:tr w:rsidR="00652641" w:rsidRPr="00652641" w14:paraId="01EBA2A5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DD9C7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Способность к сценарному анализу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7E23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BCC3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57EF1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3C93B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652641" w:rsidRPr="00652641" w14:paraId="57963ADD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B4EFC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Сложность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F87B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67CD9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5577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B9EC2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Очень высокая</w:t>
            </w:r>
          </w:p>
        </w:tc>
      </w:tr>
      <w:tr w:rsidR="00652641" w:rsidRPr="00652641" w14:paraId="3018F1D0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D0794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Интерпретируемость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883B2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10FB8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4C756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FD847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Средняя/низкая</w:t>
            </w:r>
          </w:p>
        </w:tc>
      </w:tr>
      <w:tr w:rsidR="00652641" w:rsidRPr="00652641" w14:paraId="4424C714" w14:textId="77777777" w:rsidTr="006526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801E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Горизонт прогнозирования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EAA4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6–36 месяцев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9D6D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Кратко- и среднесрочный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E1E36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Зависит от настроек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9DF9F" w14:textId="77777777" w:rsidR="00652641" w:rsidRPr="00652641" w:rsidRDefault="00652641" w:rsidP="00E23D29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52641">
              <w:rPr>
                <w:rFonts w:eastAsia="Times New Roman" w:cs="Times New Roman"/>
                <w:sz w:val="24"/>
                <w:szCs w:val="24"/>
                <w:lang w:eastAsia="ru-RU"/>
              </w:rPr>
              <w:t>Зависит от качества LLM и сценариев</w:t>
            </w:r>
          </w:p>
        </w:tc>
      </w:tr>
    </w:tbl>
    <w:p w14:paraId="51F62ED2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lastRenderedPageBreak/>
        <w:t xml:space="preserve">В результате анализа выявлено, что интеграция LLM в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-ориентированные симуляции открывает новые возможности для учёта экономических ожиданий при моделировании грузовых перевозок, однако требует разработки специальных математических и имитационных конструкций. Именно такие конструкции предложены в следующих разделах.</w:t>
      </w:r>
    </w:p>
    <w:p w14:paraId="6C6EFEFC" w14:textId="77777777" w:rsidR="00652641" w:rsidRPr="00652641" w:rsidRDefault="00652641" w:rsidP="002D7719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МАТЕМАТИЧЕСКАЯ МОДЕЛЬ</w:t>
      </w:r>
    </w:p>
    <w:p w14:paraId="7938FB6F" w14:textId="4E540EF2" w:rsidR="00652641" w:rsidRDefault="00652641" w:rsidP="00873D9B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73D9B">
        <w:rPr>
          <w:rFonts w:eastAsia="Times New Roman" w:cs="Times New Roman"/>
          <w:bCs/>
          <w:color w:val="0F1115"/>
          <w:sz w:val="24"/>
          <w:szCs w:val="24"/>
          <w:lang w:eastAsia="ru-RU"/>
        </w:rPr>
        <w:t>Постановка задачи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br/>
        <w:t>Спрогнозировать долю автомобильного и железнодорожного транспорта в общем объёме перевозок грузов на ближайшие 2 года с учётом экономических ожиданий грузоотправителей, формируемых с помощью LLM-агента.</w:t>
      </w:r>
    </w:p>
    <w:p w14:paraId="09CE2C30" w14:textId="660AEBAF" w:rsidR="00294DB5" w:rsidRPr="00294DB5" w:rsidRDefault="00294DB5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294DB5">
        <w:rPr>
          <w:rFonts w:eastAsia="Times New Roman" w:cs="Times New Roman"/>
          <w:color w:val="0F1115"/>
          <w:sz w:val="24"/>
          <w:szCs w:val="24"/>
          <w:lang w:eastAsia="ru-RU"/>
        </w:rPr>
        <w:t>Вводные данные</w:t>
      </w:r>
    </w:p>
    <w:p w14:paraId="645A35DA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Фактические показатели перевозок грузов по Российской Федерации в 2024 году (по данным Росстата, млн тонн):</w:t>
      </w:r>
    </w:p>
    <w:p w14:paraId="73D0CA3A" w14:textId="77777777" w:rsidR="006D0F02" w:rsidRPr="00217B24" w:rsidRDefault="006D0F02" w:rsidP="00873D9B">
      <w:pPr>
        <w:pStyle w:val="a0"/>
        <w:numPr>
          <w:ilvl w:val="0"/>
          <w:numId w:val="45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Автомобильный транспорт: </w:t>
      </w:r>
      <w:r w:rsidRPr="00217B24">
        <w:rPr>
          <w:rFonts w:eastAsia="Times New Roman" w:cs="Times New Roman"/>
          <w:bCs/>
          <w:color w:val="0F1115"/>
          <w:sz w:val="24"/>
          <w:szCs w:val="24"/>
          <w:lang w:eastAsia="ru-RU"/>
        </w:rPr>
        <w:t>6 775,9</w:t>
      </w: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 млн т</w:t>
      </w:r>
    </w:p>
    <w:p w14:paraId="2BEB11B3" w14:textId="77777777" w:rsidR="006D0F02" w:rsidRPr="00217B24" w:rsidRDefault="006D0F02" w:rsidP="00873D9B">
      <w:pPr>
        <w:pStyle w:val="a0"/>
        <w:numPr>
          <w:ilvl w:val="0"/>
          <w:numId w:val="45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Железнодорожный транспорт: </w:t>
      </w:r>
      <w:r w:rsidRPr="00217B24">
        <w:rPr>
          <w:rFonts w:eastAsia="Times New Roman" w:cs="Times New Roman"/>
          <w:bCs/>
          <w:color w:val="0F1115"/>
          <w:sz w:val="24"/>
          <w:szCs w:val="24"/>
          <w:lang w:eastAsia="ru-RU"/>
        </w:rPr>
        <w:t>1 306,1</w:t>
      </w: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 млн т</w:t>
      </w:r>
    </w:p>
    <w:p w14:paraId="7412D8F7" w14:textId="77777777" w:rsidR="006D0F02" w:rsidRPr="00217B24" w:rsidRDefault="006D0F02" w:rsidP="00873D9B">
      <w:pPr>
        <w:pStyle w:val="a0"/>
        <w:numPr>
          <w:ilvl w:val="0"/>
          <w:numId w:val="45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Сумма двух видов: </w:t>
      </w:r>
      <w:r w:rsidRPr="00217B24">
        <w:rPr>
          <w:rFonts w:eastAsia="Times New Roman" w:cs="Times New Roman"/>
          <w:bCs/>
          <w:color w:val="0F1115"/>
          <w:sz w:val="24"/>
          <w:szCs w:val="24"/>
          <w:lang w:eastAsia="ru-RU"/>
        </w:rPr>
        <w:t>8 082,0</w:t>
      </w:r>
      <w:r w:rsidRPr="00217B24">
        <w:rPr>
          <w:rFonts w:eastAsia="Times New Roman" w:cs="Times New Roman"/>
          <w:color w:val="0F1115"/>
          <w:sz w:val="24"/>
          <w:szCs w:val="24"/>
          <w:lang w:eastAsia="ru-RU"/>
        </w:rPr>
        <w:t> млн т</w:t>
      </w:r>
    </w:p>
    <w:p w14:paraId="121A6CE0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Базовая доля автомобильного транспорта:</w:t>
      </w:r>
    </w:p>
    <w:p w14:paraId="1ACF8BA5" w14:textId="40A296B6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s0=</w:t>
      </w:r>
      <w:r w:rsidR="006C5FFA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6775,9</w:t>
      </w:r>
      <w:r w:rsidR="006C5FFA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/ 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8082,0</w:t>
      </w:r>
      <w:r w:rsidR="006C5FFA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=</w:t>
      </w:r>
      <w:r w:rsidR="006C5FFA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0,8384</w:t>
      </w:r>
      <w:r w:rsidR="006C5FFA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(83,84%)</w:t>
      </w:r>
    </w:p>
    <w:p w14:paraId="272CEA3F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Ожидания, сгенерированные LLM-агентом по итогам анализа новостного фона (деловые СМИ, заявления регуляторов, отраслевая аналитика):</w:t>
      </w:r>
    </w:p>
    <w:p w14:paraId="01233A4C" w14:textId="77777777" w:rsidR="006D0F02" w:rsidRPr="00873D9B" w:rsidRDefault="006D0F02" w:rsidP="00873D9B">
      <w:pPr>
        <w:pStyle w:val="a0"/>
        <w:numPr>
          <w:ilvl w:val="0"/>
          <w:numId w:val="46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73D9B">
        <w:rPr>
          <w:rFonts w:eastAsia="Times New Roman" w:cs="Times New Roman"/>
          <w:color w:val="0F1115"/>
          <w:sz w:val="24"/>
          <w:szCs w:val="24"/>
          <w:lang w:eastAsia="ru-RU"/>
        </w:rPr>
        <w:t>Ожидаемый годовой прирост относительной стоимости автомобильной перевозки по сравнению с железнодорожной: </w:t>
      </w:r>
      <w:r w:rsidRPr="00873D9B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+1,8%</w:t>
      </w:r>
      <w:r w:rsidRPr="00873D9B">
        <w:rPr>
          <w:rFonts w:eastAsia="Times New Roman" w:cs="Times New Roman"/>
          <w:color w:val="0F1115"/>
          <w:sz w:val="24"/>
          <w:szCs w:val="24"/>
          <w:lang w:eastAsia="ru-RU"/>
        </w:rPr>
        <w:t> (удорожание автотранспорта, в основном из-за роста цен на топливо при более сдержанной индексации тарифов ОАО «РЖД»).</w:t>
      </w:r>
    </w:p>
    <w:p w14:paraId="3F802D0F" w14:textId="77777777" w:rsidR="006D0F02" w:rsidRPr="00873D9B" w:rsidRDefault="006D0F02" w:rsidP="00873D9B">
      <w:pPr>
        <w:pStyle w:val="a0"/>
        <w:numPr>
          <w:ilvl w:val="0"/>
          <w:numId w:val="46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73D9B">
        <w:rPr>
          <w:rFonts w:eastAsia="Times New Roman" w:cs="Times New Roman"/>
          <w:color w:val="0F1115"/>
          <w:sz w:val="24"/>
          <w:szCs w:val="24"/>
          <w:lang w:eastAsia="ru-RU"/>
        </w:rPr>
        <w:t>Ожидаемый годовой темп прироста ВВП (отклонение от долгосрочного тренда): </w:t>
      </w:r>
      <w:r w:rsidRPr="00873D9B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+1,5%</w:t>
      </w:r>
      <w:r w:rsidRPr="00873D9B">
        <w:rPr>
          <w:rFonts w:eastAsia="Times New Roman" w:cs="Times New Roman"/>
          <w:color w:val="0F1115"/>
          <w:sz w:val="24"/>
          <w:szCs w:val="24"/>
          <w:lang w:eastAsia="ru-RU"/>
        </w:rPr>
        <w:t> (умеренно-оптимистичный сценарий, сформированный на основе тональности новостей о потребительском и инвестиционном спросе).</w:t>
      </w:r>
    </w:p>
    <w:p w14:paraId="334D5BD0" w14:textId="77777777" w:rsidR="006D0F02" w:rsidRPr="006D0F02" w:rsidRDefault="006D0F02" w:rsidP="008A3522">
      <w:pPr>
        <w:shd w:val="clear" w:color="auto" w:fill="FFFFFF"/>
        <w:ind w:left="709" w:firstLine="0"/>
        <w:outlineLvl w:val="1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Решение</w:t>
      </w:r>
    </w:p>
    <w:p w14:paraId="39C804D1" w14:textId="77777777" w:rsidR="006D0F02" w:rsidRPr="006D0F02" w:rsidRDefault="006D0F02" w:rsidP="008A3522">
      <w:pPr>
        <w:shd w:val="clear" w:color="auto" w:fill="FFFFFF"/>
        <w:ind w:left="709" w:firstLine="0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Модель бинарного выбора</w:t>
      </w:r>
    </w:p>
    <w:p w14:paraId="496D9FFD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Для описания решения грузоотправителя в пользу автомобильного транспорта используется </w:t>
      </w:r>
      <w:proofErr w:type="spellStart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логит</w:t>
      </w:r>
      <w:proofErr w:type="spellEnd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-модель:</w:t>
      </w:r>
    </w:p>
    <w:p w14:paraId="3DE9EF70" w14:textId="70AB055A" w:rsidR="006D0F02" w:rsidRPr="006D0F02" w:rsidRDefault="00614B2F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14B2F">
        <w:rPr>
          <w:rFonts w:eastAsia="Times New Roman" w:cs="Times New Roman"/>
          <w:noProof/>
          <w:color w:val="0F1115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BF95070" wp14:editId="0B787A6E">
            <wp:extent cx="5345645" cy="64742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365" cy="68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где полезность автомобильной альтернативы </w:t>
      </w:r>
      <w:r w:rsidR="006D0F02"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U(t)</w:t>
      </w:r>
      <w:r w:rsidR="006D0F02" w:rsidRPr="006D0F0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U</w:t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(</w:t>
      </w:r>
      <w:r w:rsidR="006D0F02" w:rsidRPr="006D0F0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t</w:t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) линейно зависит от ожидаемых макроэкономических факторов:</w:t>
      </w:r>
    </w:p>
    <w:p w14:paraId="7C7E1FD1" w14:textId="355F15EC" w:rsidR="006D0F02" w:rsidRPr="006D0F02" w:rsidRDefault="00A30C9D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 xml:space="preserve"> </w:t>
      </w:r>
      <w:r w:rsidR="00614B2F" w:rsidRPr="00614B2F">
        <w:rPr>
          <w:rFonts w:eastAsia="Times New Roman" w:cs="Times New Roman"/>
          <w:noProof/>
          <w:color w:val="0F1115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567252A3" wp14:editId="5EFD1482">
            <wp:extent cx="5122333" cy="39427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5301" cy="4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Здесь:</w:t>
      </w:r>
    </w:p>
    <w:p w14:paraId="0D97962E" w14:textId="7676F85E" w:rsidR="006D0F02" w:rsidRPr="008A3522" w:rsidRDefault="006D0F02" w:rsidP="008A3522">
      <w:pPr>
        <w:pStyle w:val="a0"/>
        <w:numPr>
          <w:ilvl w:val="0"/>
          <w:numId w:val="44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lastRenderedPageBreak/>
        <w:t>ΔC(t)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 — ожидаемое изменение относительной стоимости «авто / ж/д» в процентных пунктах к базовому периоду (декабрь 2024 г., </w:t>
      </w: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ΔC=0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);</w:t>
      </w:r>
    </w:p>
    <w:p w14:paraId="0B6922EE" w14:textId="1CDC1A7A" w:rsidR="006D0F02" w:rsidRPr="008A3522" w:rsidRDefault="006D0F02" w:rsidP="008A3522">
      <w:pPr>
        <w:pStyle w:val="a0"/>
        <w:numPr>
          <w:ilvl w:val="0"/>
          <w:numId w:val="44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ΔGDP(t)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— ожидаемое отклонение темпа роста ВВП от базового тренда, в процентных пунктах;</w:t>
      </w:r>
    </w:p>
    <w:p w14:paraId="5B6DAB1F" w14:textId="622C6CEF" w:rsidR="006D0F02" w:rsidRPr="008A3522" w:rsidRDefault="006D0F02" w:rsidP="008A3522">
      <w:pPr>
        <w:pStyle w:val="a0"/>
        <w:numPr>
          <w:ilvl w:val="0"/>
          <w:numId w:val="44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β</w:t>
      </w:r>
      <w:proofErr w:type="gramStart"/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0,β</w:t>
      </w:r>
      <w:proofErr w:type="gramEnd"/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1,β2</w:t>
      </w:r>
      <w:r w:rsidR="001148B7" w:rsidRPr="008A352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​ — коэффициенты, подлежащие калибровке.</w:t>
      </w:r>
    </w:p>
    <w:p w14:paraId="194AB9FA" w14:textId="77777777" w:rsidR="006D0F02" w:rsidRPr="006D0F02" w:rsidRDefault="006D0F02" w:rsidP="008A3522">
      <w:pPr>
        <w:shd w:val="clear" w:color="auto" w:fill="FFFFFF"/>
        <w:ind w:left="709" w:firstLine="0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Калибровка коэффициентов</w:t>
      </w:r>
    </w:p>
    <w:p w14:paraId="62CD6D02" w14:textId="5181FDA9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Коэффициенты модели были оценены по историческим данным за 2010–2024 гг. с использованием метода максимального правдоподобия (логистическая регрессия). В качестве зависимой переменной выступала фактическая доля автомобильного транспорта в суммарном объёме автомобильных и железнодорожных перевозок; независимые переменные 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ΔC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Δ</w:t>
      </w:r>
      <w:r w:rsidRPr="006D0F0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C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и 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ΔGDP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были восстановлены на основе динамики индексов тарифов на грузовые автоперевозки, цен на дизельное топливо, темпов роста ВВП и индексации железнодорожных тарифов.</w:t>
      </w:r>
    </w:p>
    <w:p w14:paraId="7DDBC09C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Получены следующие оценки:</w:t>
      </w:r>
    </w:p>
    <w:p w14:paraId="72792D89" w14:textId="1D33C470" w:rsidR="006D0F02" w:rsidRPr="006D0F02" w:rsidRDefault="006D0F02" w:rsidP="00873D9B">
      <w:pPr>
        <w:numPr>
          <w:ilvl w:val="0"/>
          <w:numId w:val="4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β0=1,65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— отражает базовое преимущество автомобильного транспорта в тоннаже (высокая доля при нейтральных ожиданиях);</w:t>
      </w:r>
    </w:p>
    <w:p w14:paraId="2DD4CD31" w14:textId="73B2430E" w:rsidR="006D0F02" w:rsidRPr="006D0F02" w:rsidRDefault="006D0F02" w:rsidP="00873D9B">
      <w:pPr>
        <w:numPr>
          <w:ilvl w:val="0"/>
          <w:numId w:val="4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β1=−0,12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— отрицательное влияние удорожания автотранспорта относительно железнодорожного (рост 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ΔC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снижает привлекательность автомобильной перевозки);</w:t>
      </w:r>
    </w:p>
    <w:p w14:paraId="57D0A458" w14:textId="39C36721" w:rsidR="006D0F02" w:rsidRPr="006D0F02" w:rsidRDefault="006D0F02" w:rsidP="00873D9B">
      <w:pPr>
        <w:numPr>
          <w:ilvl w:val="0"/>
          <w:numId w:val="4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β2=0,25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— положительное влияние экономического роста (увеличение спроса на гибкость и скорость доставки, свойственные автотранспорту).</w:t>
      </w:r>
    </w:p>
    <w:p w14:paraId="7A3DB21C" w14:textId="77777777" w:rsidR="006D0F02" w:rsidRPr="006D0F02" w:rsidRDefault="006D0F02" w:rsidP="00873D9B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Проверка адекватности на обучающей выборке показала среднюю абсолютную ошибку прогноза доли не более 1,5 </w:t>
      </w:r>
      <w:proofErr w:type="spellStart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п.п</w:t>
      </w:r>
      <w:proofErr w:type="spellEnd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., что достаточно для макроэкономического анализа.</w:t>
      </w:r>
    </w:p>
    <w:p w14:paraId="2BE6DCD3" w14:textId="77777777" w:rsidR="006D0F02" w:rsidRPr="006D0F02" w:rsidRDefault="006D0F02" w:rsidP="008A3522">
      <w:pPr>
        <w:shd w:val="clear" w:color="auto" w:fill="FFFFFF"/>
        <w:ind w:left="709" w:firstLine="0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Прогноз с учётом ожиданий LLM-агента</w:t>
      </w:r>
    </w:p>
    <w:p w14:paraId="52B25FD8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Пересчёт годовых ожиданий в месячные темпы производится по формуле сложного процента.</w:t>
      </w:r>
    </w:p>
    <w:p w14:paraId="2013CF77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Месячный темп прироста относительной стоимости:</w:t>
      </w:r>
    </w:p>
    <w:p w14:paraId="418A357D" w14:textId="3C8E0264" w:rsidR="006D0F02" w:rsidRPr="006D0F02" w:rsidRDefault="00941361" w:rsidP="00941361">
      <w:pPr>
        <w:shd w:val="clear" w:color="auto" w:fill="FFFFFF"/>
        <w:ind w:left="709" w:firstLine="0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941361">
        <w:rPr>
          <w:rFonts w:eastAsia="Times New Roman" w:cs="Times New Roman"/>
          <w:noProof/>
          <w:color w:val="0F1115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2EFE8E72" wp14:editId="734004ED">
            <wp:extent cx="5396134" cy="451697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8444" cy="4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Месячный темп прироста ВВП (сверх тренда):</w:t>
      </w:r>
    </w:p>
    <w:p w14:paraId="312F5174" w14:textId="087F3040" w:rsidR="006D0F02" w:rsidRPr="006D0F02" w:rsidRDefault="00941361" w:rsidP="00941361">
      <w:pPr>
        <w:shd w:val="clear" w:color="auto" w:fill="FFFFFF"/>
        <w:ind w:left="709" w:firstLine="0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941361">
        <w:rPr>
          <w:rFonts w:eastAsia="Times New Roman" w:cs="Times New Roman"/>
          <w:noProof/>
          <w:color w:val="0F1115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4EFA0148" wp14:editId="0C9369BE">
            <wp:extent cx="5270924" cy="4429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244" cy="4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Накопленные изменения за </w:t>
      </w:r>
      <w:r w:rsidR="006D0F02"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t</w:t>
      </w:r>
      <w:r w:rsidR="00573433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 xml:space="preserve"> </w:t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>месяцев:</w:t>
      </w:r>
    </w:p>
    <w:p w14:paraId="5578EA87" w14:textId="77777777" w:rsidR="00941361" w:rsidRDefault="00941361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941361">
        <w:rPr>
          <w:rFonts w:eastAsia="Times New Roman" w:cs="Times New Roman"/>
          <w:noProof/>
          <w:color w:val="0F1115"/>
          <w:sz w:val="24"/>
          <w:szCs w:val="24"/>
          <w:bdr w:val="none" w:sz="0" w:space="0" w:color="auto" w:frame="1"/>
          <w:lang w:eastAsia="ru-RU"/>
        </w:rPr>
        <w:lastRenderedPageBreak/>
        <w:drawing>
          <wp:inline distT="0" distB="0" distL="0" distR="0" wp14:anchorId="43D5EF50" wp14:editId="46E2286E">
            <wp:extent cx="5042324" cy="737967"/>
            <wp:effectExtent l="0" t="0" r="635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9155" cy="7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6C82" w14:textId="3491B92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Расчёт контрольных точек на горизонте 24 месяцев сведён в таблицу 2.</w:t>
      </w:r>
    </w:p>
    <w:p w14:paraId="4054A05A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Таблица 2 – Прогноз доли автомобильного транспорта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566"/>
        <w:gridCol w:w="1115"/>
        <w:gridCol w:w="1435"/>
        <w:gridCol w:w="1020"/>
        <w:gridCol w:w="2357"/>
      </w:tblGrid>
      <w:tr w:rsidR="008A3522" w:rsidRPr="006D0F02" w14:paraId="46B6DF45" w14:textId="77777777" w:rsidTr="008A352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8708B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241CA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AC31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ΔC,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840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ΔGDP,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AE607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76552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P_road</w:t>
            </w:r>
            <w:proofErr w:type="spellEnd"/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(доля авто)</w:t>
            </w:r>
          </w:p>
        </w:tc>
      </w:tr>
      <w:tr w:rsidR="008A3522" w:rsidRPr="006D0F02" w14:paraId="49D3F8D9" w14:textId="77777777" w:rsidTr="008A352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23D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F8A1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116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873B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CFE24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1,650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E74C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0,838 (83,8%)</w:t>
            </w:r>
          </w:p>
        </w:tc>
      </w:tr>
      <w:tr w:rsidR="008A3522" w:rsidRPr="006D0F02" w14:paraId="0F0565D8" w14:textId="77777777" w:rsidTr="008A352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E79F7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9F078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июнь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AE91D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B5E3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695C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1,729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1A220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0,849 (84,9%)</w:t>
            </w:r>
          </w:p>
        </w:tc>
      </w:tr>
      <w:tr w:rsidR="008A3522" w:rsidRPr="006D0F02" w14:paraId="4B48578A" w14:textId="77777777" w:rsidTr="008A352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0B621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805B3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8B94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A87A8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2F82B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1,809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7760B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0,859 (85,9%)</w:t>
            </w:r>
          </w:p>
        </w:tc>
      </w:tr>
      <w:tr w:rsidR="008A3522" w:rsidRPr="006D0F02" w14:paraId="6BB02C6B" w14:textId="77777777" w:rsidTr="008A352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3747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C7914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июнь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DEFC0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2,72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596A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2,26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A07FC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1,889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1052C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0,868 (86,8%)</w:t>
            </w:r>
          </w:p>
        </w:tc>
      </w:tr>
      <w:tr w:rsidR="008A3522" w:rsidRPr="006D0F02" w14:paraId="659C10B0" w14:textId="77777777" w:rsidTr="008A352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4F0FE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E1E4F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D94F7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3,64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8A086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3,02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2F185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1,968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680B" w14:textId="77777777" w:rsidR="006D0F02" w:rsidRPr="006D0F02" w:rsidRDefault="006D0F02" w:rsidP="008A3522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0,877 (87,7%)</w:t>
            </w:r>
          </w:p>
        </w:tc>
      </w:tr>
    </w:tbl>
    <w:p w14:paraId="2F390D99" w14:textId="77777777" w:rsidR="006D0F02" w:rsidRPr="0082565E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2565E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Примечание: промежуточные значения ΔC и ΔGDP округлены до двух знаков, U и </w:t>
      </w:r>
      <w:proofErr w:type="spellStart"/>
      <w:r w:rsidRPr="0082565E">
        <w:rPr>
          <w:rFonts w:eastAsia="Times New Roman" w:cs="Times New Roman"/>
          <w:iCs/>
          <w:color w:val="0F1115"/>
          <w:sz w:val="24"/>
          <w:szCs w:val="24"/>
          <w:lang w:eastAsia="ru-RU"/>
        </w:rPr>
        <w:t>P_road</w:t>
      </w:r>
      <w:proofErr w:type="spellEnd"/>
      <w:r w:rsidRPr="0082565E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– до трёх-четырёх знаков.</w:t>
      </w:r>
    </w:p>
    <w:p w14:paraId="3ACB825F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Полученная динамика означает, что при сохранении умеренного роста экономики и ожидаемого небольшого удорожания автомобильных перевозок доля автотранспорта продолжит плавно увеличиваться – с 83,8% до 87,7% за два года.</w:t>
      </w:r>
    </w:p>
    <w:p w14:paraId="2C553D8C" w14:textId="16412595" w:rsidR="006D0F02" w:rsidRDefault="00573433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4"/>
          <w:szCs w:val="24"/>
          <w:lang w:eastAsia="ru-RU"/>
        </w:rPr>
        <w:t>На рисунке 2</w:t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показана соответствующая кривая роста доли автомобильного транспорта.</w:t>
      </w:r>
    </w:p>
    <w:p w14:paraId="5B516B3F" w14:textId="02D61233" w:rsidR="00573433" w:rsidRPr="006D0F02" w:rsidRDefault="00573433" w:rsidP="00573433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573433">
        <w:rPr>
          <w:rFonts w:eastAsia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6984CE38" wp14:editId="7DFA6508">
            <wp:extent cx="4671263" cy="2768600"/>
            <wp:effectExtent l="19050" t="19050" r="1524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3224" cy="2775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26DED4" w14:textId="2B07397D" w:rsidR="006D0F02" w:rsidRPr="00573433" w:rsidRDefault="00573433" w:rsidP="00573433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573433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Рисунок 2</w:t>
      </w:r>
      <w:r w:rsidR="006D0F02" w:rsidRPr="00573433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– Рост доли автомобильных пе</w:t>
      </w:r>
      <w:r w:rsidRPr="00573433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ревозок в прогнозе на 24 месяца</w:t>
      </w:r>
    </w:p>
    <w:p w14:paraId="373F42FB" w14:textId="77777777" w:rsidR="006D0F02" w:rsidRPr="006D0F02" w:rsidRDefault="006D0F02" w:rsidP="003B58E8">
      <w:pPr>
        <w:shd w:val="clear" w:color="auto" w:fill="FFFFFF"/>
        <w:ind w:left="709" w:firstLine="0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Прогноз абсолютных объёмов перевозок</w:t>
      </w:r>
    </w:p>
    <w:p w14:paraId="10F97A77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С учётом ожидаемого темпа роста ВВП (+1,5% в год) общий объём перевозок автомобильным и железнодорожным транспортом будет увеличиваться. Принимая базовый суммарный объём 2024 года (8 082 млн т) и предполагая его пропорциональный росту ВВП прирост, получаем:</w:t>
      </w:r>
    </w:p>
    <w:p w14:paraId="4DDBF48E" w14:textId="1CE31C94" w:rsidR="006D0F02" w:rsidRPr="008A3522" w:rsidRDefault="006D0F02" w:rsidP="008A3522">
      <w:pPr>
        <w:pStyle w:val="a0"/>
        <w:numPr>
          <w:ilvl w:val="0"/>
          <w:numId w:val="42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на конец 2025 г. (12 мес.): </w:t>
      </w: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8 082×1,015=8 203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=8203 млн т,</w:t>
      </w:r>
    </w:p>
    <w:p w14:paraId="0A41D6D0" w14:textId="0931C7A3" w:rsidR="006D0F02" w:rsidRPr="008A3522" w:rsidRDefault="006D0F02" w:rsidP="008A3522">
      <w:pPr>
        <w:pStyle w:val="a0"/>
        <w:numPr>
          <w:ilvl w:val="0"/>
          <w:numId w:val="42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на конец 2026 г. (24 мес.): </w:t>
      </w:r>
      <w:r w:rsidRPr="008A352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8 082×1,0152=8 326</w:t>
      </w:r>
      <w:r w:rsidRPr="008A3522">
        <w:rPr>
          <w:rFonts w:eastAsia="Times New Roman" w:cs="Times New Roman"/>
          <w:color w:val="0F1115"/>
          <w:sz w:val="24"/>
          <w:szCs w:val="24"/>
          <w:lang w:eastAsia="ru-RU"/>
        </w:rPr>
        <w:t>=8326 млн т.</w:t>
      </w:r>
    </w:p>
    <w:p w14:paraId="1ADA9A45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Распределение по видам транспорта согласно рассчитанным долям: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2391"/>
        <w:gridCol w:w="2758"/>
        <w:gridCol w:w="3034"/>
      </w:tblGrid>
      <w:tr w:rsidR="006D0F02" w:rsidRPr="006D0F02" w14:paraId="151703BA" w14:textId="77777777" w:rsidTr="008A35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CFF17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2EDC5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Общий объём, млн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8854C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Автомобильный, млн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6936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Железнодорожный, млн т</w:t>
            </w:r>
          </w:p>
        </w:tc>
      </w:tr>
      <w:tr w:rsidR="006D0F02" w:rsidRPr="006D0F02" w14:paraId="1CE254B7" w14:textId="77777777" w:rsidTr="008A35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B882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12712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8 082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4C132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6 776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64F8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1 306</w:t>
            </w:r>
          </w:p>
        </w:tc>
      </w:tr>
      <w:tr w:rsidR="006D0F02" w:rsidRPr="006D0F02" w14:paraId="1DBFA44B" w14:textId="77777777" w:rsidTr="008A35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8A30F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413A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8 203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7328C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7 047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B14F5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1 156</w:t>
            </w:r>
          </w:p>
        </w:tc>
      </w:tr>
      <w:tr w:rsidR="006D0F02" w:rsidRPr="006D0F02" w14:paraId="083945AE" w14:textId="77777777" w:rsidTr="008A35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87F1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дек.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21952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8 326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206C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7 302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2D3EF" w14:textId="77777777" w:rsidR="006D0F02" w:rsidRPr="006D0F02" w:rsidRDefault="006D0F02" w:rsidP="00294DB5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D0F02">
              <w:rPr>
                <w:rFonts w:eastAsia="Times New Roman" w:cs="Times New Roman"/>
                <w:sz w:val="24"/>
                <w:szCs w:val="24"/>
                <w:lang w:eastAsia="ru-RU"/>
              </w:rPr>
              <w:t>1 024</w:t>
            </w:r>
          </w:p>
        </w:tc>
      </w:tr>
    </w:tbl>
    <w:p w14:paraId="1832CD20" w14:textId="19DCEC48" w:rsidR="006D0F02" w:rsidRPr="006D0F02" w:rsidRDefault="00983E11" w:rsidP="00006465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/>
          <w:color w:val="0F1115"/>
          <w:sz w:val="24"/>
          <w:szCs w:val="24"/>
          <w:lang w:eastAsia="ru-RU"/>
        </w:rPr>
        <w:t>Рисунок 3</w:t>
      </w:r>
      <w:r w:rsidR="006D0F02" w:rsidRPr="006D0F0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иллюстрирует сравнительный рост грузопотоков по видам транспорта.</w:t>
      </w:r>
      <w:r w:rsidRPr="00983E11">
        <w:rPr>
          <w:rFonts w:eastAsia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7488EAC9" wp14:editId="0E05A89C">
            <wp:extent cx="5543804" cy="3318933"/>
            <wp:effectExtent l="19050" t="19050" r="1905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2476" cy="3336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3FED7" w14:textId="5742438E" w:rsidR="006D0F02" w:rsidRPr="00006465" w:rsidRDefault="00983E11" w:rsidP="00006465">
      <w:pPr>
        <w:shd w:val="clear" w:color="auto" w:fill="FFFFFF"/>
        <w:ind w:firstLine="0"/>
        <w:jc w:val="center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06465">
        <w:rPr>
          <w:rFonts w:eastAsia="Times New Roman" w:cs="Times New Roman"/>
          <w:iCs/>
          <w:color w:val="0F1115"/>
          <w:sz w:val="24"/>
          <w:szCs w:val="24"/>
          <w:lang w:eastAsia="ru-RU"/>
        </w:rPr>
        <w:t>Рисунок 3</w:t>
      </w:r>
      <w:r w:rsidR="006D0F02" w:rsidRPr="00006465">
        <w:rPr>
          <w:rFonts w:eastAsia="Times New Roman" w:cs="Times New Roman"/>
          <w:iCs/>
          <w:color w:val="0F1115"/>
          <w:sz w:val="24"/>
          <w:szCs w:val="24"/>
          <w:lang w:eastAsia="ru-RU"/>
        </w:rPr>
        <w:t xml:space="preserve"> – Сравнение прогнозируемого объёма перевозок автомобильного и железнодорожного транспорта, млн т</w:t>
      </w:r>
    </w:p>
    <w:p w14:paraId="7E848379" w14:textId="77777777" w:rsidR="006D0F02" w:rsidRPr="006D0F02" w:rsidRDefault="006D0F02" w:rsidP="00294DB5">
      <w:pPr>
        <w:shd w:val="clear" w:color="auto" w:fill="FFFFFF"/>
        <w:outlineLvl w:val="2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Критический уровень ожиданий</w:t>
      </w:r>
    </w:p>
    <w:p w14:paraId="3CB4C573" w14:textId="5B5BD764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Модель позволяет определить, при каком значении </w:t>
      </w:r>
      <w:r w:rsidR="00006465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</w:t>
      </w:r>
      <w:r w:rsidRPr="006D0F0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C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 предпочтения между видами транспорта сравняются (</w:t>
      </w:r>
      <w:proofErr w:type="spellStart"/>
      <w:r w:rsidR="00006465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Proad</w:t>
      </w:r>
      <w:proofErr w:type="spellEnd"/>
      <w:r w:rsidR="00006465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=0,5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). Из условия </w:t>
      </w:r>
      <w:r w:rsidRPr="006D0F02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U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=0 при нейтральном росте ВВП (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ΔGDP=0</w:t>
      </w: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) получаем:</w:t>
      </w:r>
    </w:p>
    <w:p w14:paraId="7E07966E" w14:textId="66F7513F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1,65−0,12</w:t>
      </w:r>
      <w:r w:rsidRPr="006D0F02">
        <w:rPr>
          <w:rFonts w:ascii="Cambria Math" w:eastAsia="Times New Roman" w:hAnsi="Cambria Math" w:cs="Cambria Math"/>
          <w:color w:val="0F1115"/>
          <w:sz w:val="24"/>
          <w:szCs w:val="24"/>
          <w:bdr w:val="none" w:sz="0" w:space="0" w:color="auto" w:frame="1"/>
          <w:lang w:eastAsia="ru-RU"/>
        </w:rPr>
        <w:t>⋅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ΔCcrit=0</w:t>
      </w:r>
      <w:r w:rsidRPr="006D0F02">
        <w:rPr>
          <w:rFonts w:ascii="Cambria Math" w:eastAsia="Times New Roman" w:hAnsi="Cambria Math" w:cs="Cambria Math"/>
          <w:color w:val="0F1115"/>
          <w:sz w:val="24"/>
          <w:szCs w:val="24"/>
          <w:bdr w:val="none" w:sz="0" w:space="0" w:color="auto" w:frame="1"/>
          <w:lang w:eastAsia="ru-RU"/>
        </w:rPr>
        <w:t>⇒</w:t>
      </w:r>
      <w:r w:rsidRPr="006D0F02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ΔCcrit≈13,75%.</w:t>
      </w:r>
    </w:p>
    <w:p w14:paraId="0422E902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Таким образом, если ожидаемое удорожание автомобильных перевозок относительно железнодорожных превысит примерно 14%, доля автотранспорта может упасть ниже 50%. При текущих прогнозах (около 1,8% в год) система далека от этого порога, что свидетельствует о значительном запасе устойчивости.</w:t>
      </w:r>
    </w:p>
    <w:p w14:paraId="4A51ACB2" w14:textId="77777777" w:rsidR="006D0F02" w:rsidRPr="006D0F02" w:rsidRDefault="006D0F02" w:rsidP="00294DB5">
      <w:pPr>
        <w:shd w:val="clear" w:color="auto" w:fill="FFFFFF"/>
        <w:ind w:left="709" w:firstLine="0"/>
        <w:outlineLvl w:val="1"/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Вывод</w:t>
      </w:r>
    </w:p>
    <w:p w14:paraId="3A5B00A1" w14:textId="77777777" w:rsidR="006D0F02" w:rsidRPr="006D0F02" w:rsidRDefault="006D0F02" w:rsidP="00294DB5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Построенная </w:t>
      </w:r>
      <w:proofErr w:type="spellStart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логит</w:t>
      </w:r>
      <w:proofErr w:type="spellEnd"/>
      <w:r w:rsidRPr="006D0F02">
        <w:rPr>
          <w:rFonts w:eastAsia="Times New Roman" w:cs="Times New Roman"/>
          <w:color w:val="0F1115"/>
          <w:sz w:val="24"/>
          <w:szCs w:val="24"/>
          <w:lang w:eastAsia="ru-RU"/>
        </w:rPr>
        <w:t>-модель, опирающаяся на реальные данные Росстата и ожидания, сформированные LLM-агентом, прогнозирует сохранение доминирующего положения автомобильного транспорта в общем объёме перевозок (в тоннах) с тенденцией к небольшому росту доли – до 87,7% через два года. Даже при умеренном негативном ценовом ожидании положительный эффект экономического роста перевешивает, способствуя дальнейшему увеличению привлекательности автотранспорта. Модель обладает достаточной устойчивостью: критическое снижение доли возможно лишь при экстремальном скачке относительной стоимости автомобильных перевозок.</w:t>
      </w:r>
    </w:p>
    <w:p w14:paraId="5201CEA1" w14:textId="77777777" w:rsidR="00652641" w:rsidRPr="00652641" w:rsidRDefault="00652641" w:rsidP="00FA42D6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ИМИТАЦИОННАЯ МОДЕЛЬ</w:t>
      </w:r>
    </w:p>
    <w:p w14:paraId="71FF626E" w14:textId="77777777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 xml:space="preserve">Разработаем </w:t>
      </w:r>
      <w:proofErr w:type="spellStart"/>
      <w:r w:rsidRPr="00A96D09">
        <w:rPr>
          <w:color w:val="0F1115"/>
        </w:rPr>
        <w:t>агентно</w:t>
      </w:r>
      <w:proofErr w:type="spellEnd"/>
      <w:r w:rsidRPr="00A96D09">
        <w:rPr>
          <w:color w:val="0F1115"/>
        </w:rPr>
        <w:t>-ориентированную имитационную модель, в которой 1000 грузоотправителей ежемесячно принимают решение о выборе вида транспорта (автомобильный или железнодорожный), опираясь на собственные экономические ожидания. Ожидания моделируются как случайные величины, параметры которых соответствуют прогнозу, полученному от LLM-агента на основе анализа новостного фона.</w:t>
      </w:r>
    </w:p>
    <w:p w14:paraId="6D7002FB" w14:textId="77777777" w:rsidR="00A96D09" w:rsidRPr="00A96D09" w:rsidRDefault="00A96D09" w:rsidP="00A96D09">
      <w:pPr>
        <w:pStyle w:val="2"/>
        <w:numPr>
          <w:ilvl w:val="0"/>
          <w:numId w:val="0"/>
        </w:numPr>
        <w:shd w:val="clear" w:color="auto" w:fill="FFFFFF"/>
        <w:ind w:firstLine="709"/>
        <w:rPr>
          <w:color w:val="0F1115"/>
          <w:sz w:val="24"/>
          <w:szCs w:val="24"/>
        </w:rPr>
      </w:pPr>
      <w:r w:rsidRPr="00A96D09">
        <w:rPr>
          <w:color w:val="0F1115"/>
          <w:sz w:val="24"/>
          <w:szCs w:val="24"/>
        </w:rPr>
        <w:t>Основные параметры модели</w:t>
      </w:r>
    </w:p>
    <w:p w14:paraId="7D2F3C1C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Начальное состояние рынка.</w:t>
      </w:r>
      <w:r w:rsidRPr="00A96D09">
        <w:rPr>
          <w:color w:val="0F1115"/>
        </w:rPr>
        <w:t> На конец 2024 года фактическая доля автомобильного транспорта в суммарном объёме перевозок (авто + ж/д) составила 83,84 %. В начальный момент времени 839 агентов из 1000 используют автомобильный транспорт, 161 агент — железнодорожный.</w:t>
      </w:r>
    </w:p>
    <w:p w14:paraId="1821F1CA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Объём отправки одного агента.</w:t>
      </w:r>
      <w:r w:rsidRPr="00A96D09">
        <w:rPr>
          <w:color w:val="0F1115"/>
        </w:rPr>
        <w:t> Суммарный годовой объём перевозок автомобильным и железнодорожным транспортом в 2024 году — 8 082 млн т. При 1000 агентах средний месячный объём отправки одного агента равен 674 тыс. т. Для учёта разницы в масштабах грузоотправителей вводится стандартное отклонение 200 тыс. т. Объём отправки для каждого агента генерируется один раз и остаётся постоянным на всём горизонте моделирования.</w:t>
      </w:r>
    </w:p>
    <w:p w14:paraId="69459059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Формирование ожиданий.</w:t>
      </w:r>
      <w:r w:rsidRPr="00A96D09">
        <w:rPr>
          <w:color w:val="0F1115"/>
        </w:rPr>
        <w:t> Каждый агент в каждом месяце получает индивидуальные оценки двух ключевых параметров:</w:t>
      </w:r>
    </w:p>
    <w:p w14:paraId="2CBF887D" w14:textId="77777777" w:rsidR="00A96D09" w:rsidRPr="00A96D09" w:rsidRDefault="00A96D09" w:rsidP="00A96D09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color w:val="0F1115"/>
        </w:rPr>
        <w:t>ожидаемое изменение относительной стоимости автомобильной перевозки (ΔC), среднее +1,8 %, СКО = 0,5 %;</w:t>
      </w:r>
    </w:p>
    <w:p w14:paraId="4AE3FB4D" w14:textId="77777777" w:rsidR="00A96D09" w:rsidRPr="00A96D09" w:rsidRDefault="00A96D09" w:rsidP="00A96D09">
      <w:pPr>
        <w:pStyle w:val="ds-markdown-paragraph"/>
        <w:numPr>
          <w:ilvl w:val="1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color w:val="0F1115"/>
        </w:rPr>
        <w:t>ожидаемое отклонение темпа роста ВВП от тренда (ΔGDP), среднее +1,5 %, СКО = 0,4 %.</w:t>
      </w:r>
      <w:r w:rsidRPr="00A96D09">
        <w:rPr>
          <w:color w:val="0F1115"/>
        </w:rPr>
        <w:br/>
        <w:t>Эти значения моделируются как независимые нормальные случайные величины. Средние значения соответствуют точечному прогнозу LLM-агента, а стандартные отклонения отражают естественный разброс в восприятии новостей разными экономическими субъектами.</w:t>
      </w:r>
    </w:p>
    <w:p w14:paraId="272C9549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Издержки переключения.</w:t>
      </w:r>
      <w:r w:rsidRPr="00A96D09">
        <w:rPr>
          <w:color w:val="0F1115"/>
        </w:rPr>
        <w:t> Если агент меняет вид транспорта по сравнению с предыдущим месяцем, он несёт дополнительные транзакционные издержки в размере 2 % от стоимости перевозки.</w:t>
      </w:r>
    </w:p>
    <w:p w14:paraId="7467E2F7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Принятие решения.</w:t>
      </w:r>
      <w:r w:rsidRPr="00A96D09">
        <w:rPr>
          <w:color w:val="0F1115"/>
        </w:rPr>
        <w:t> Агент сравнивает полезность автомобильного транспорта 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Uroad</w:t>
      </w:r>
      <w:r w:rsidRPr="00A96D09">
        <w:rPr>
          <w:rStyle w:val="mord"/>
          <w:i/>
          <w:iCs/>
          <w:color w:val="0F1115"/>
        </w:rPr>
        <w:t>Uroad</w:t>
      </w:r>
      <w:proofErr w:type="spellEnd"/>
      <w:r w:rsidRPr="00A96D09">
        <w:rPr>
          <w:rStyle w:val="vlist-s"/>
          <w:rFonts w:eastAsiaTheme="majorEastAsia"/>
          <w:color w:val="0F1115"/>
        </w:rPr>
        <w:t>​</w:t>
      </w:r>
      <w:r w:rsidRPr="00A96D09">
        <w:rPr>
          <w:color w:val="0F1115"/>
        </w:rPr>
        <w:t> и полезность железнодорожного 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Urail</w:t>
      </w:r>
      <w:r w:rsidRPr="00A96D09">
        <w:rPr>
          <w:rStyle w:val="mord"/>
          <w:i/>
          <w:iCs/>
          <w:color w:val="0F1115"/>
        </w:rPr>
        <w:t>Urail</w:t>
      </w:r>
      <w:proofErr w:type="spellEnd"/>
      <w:r w:rsidRPr="00A96D09">
        <w:rPr>
          <w:rStyle w:val="vlist-s"/>
          <w:rFonts w:eastAsiaTheme="majorEastAsia"/>
          <w:color w:val="0F1115"/>
        </w:rPr>
        <w:t>​</w:t>
      </w:r>
      <w:r w:rsidRPr="00A96D09">
        <w:rPr>
          <w:color w:val="0F1115"/>
        </w:rPr>
        <w:t>. Полезность автомобильного транспорта рассчитывается по формуле:</w:t>
      </w:r>
    </w:p>
    <w:p w14:paraId="507B0894" w14:textId="730A53A8" w:rsidR="00A96D09" w:rsidRPr="00A96D09" w:rsidRDefault="00A96D09" w:rsidP="00A96D09">
      <w:pPr>
        <w:shd w:val="clear" w:color="auto" w:fill="FFFFFF"/>
        <w:rPr>
          <w:rFonts w:cs="Times New Roman"/>
          <w:color w:val="0F1115"/>
          <w:sz w:val="24"/>
          <w:szCs w:val="24"/>
        </w:rPr>
      </w:pPr>
      <w:proofErr w:type="spellStart"/>
      <w:r w:rsidRPr="00A96D09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</w:rPr>
        <w:t>Uroad</w:t>
      </w:r>
      <w:proofErr w:type="spellEnd"/>
      <w:r w:rsidRPr="00A96D09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</w:rPr>
        <w:t>=β0+α1</w:t>
      </w:r>
      <w:r w:rsidRPr="00A96D0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⋅</w:t>
      </w:r>
      <w:r w:rsidRPr="00A96D09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</w:rPr>
        <w:t>ΔC+α2</w:t>
      </w:r>
      <w:r w:rsidRPr="00A96D09">
        <w:rPr>
          <w:rStyle w:val="katex-mathml"/>
          <w:rFonts w:ascii="Cambria Math" w:hAnsi="Cambria Math" w:cs="Cambria Math"/>
          <w:color w:val="0F1115"/>
          <w:sz w:val="24"/>
          <w:szCs w:val="24"/>
          <w:bdr w:val="none" w:sz="0" w:space="0" w:color="auto" w:frame="1"/>
        </w:rPr>
        <w:t>⋅</w:t>
      </w:r>
      <w:r w:rsidRPr="00A96D09">
        <w:rPr>
          <w:rStyle w:val="katex-mathml"/>
          <w:rFonts w:cs="Times New Roman"/>
          <w:color w:val="0F1115"/>
          <w:sz w:val="24"/>
          <w:szCs w:val="24"/>
          <w:bdr w:val="none" w:sz="0" w:space="0" w:color="auto" w:frame="1"/>
        </w:rPr>
        <w:t>ΔGDP+ε,</w:t>
      </w:r>
    </w:p>
    <w:p w14:paraId="1B04F082" w14:textId="3CD49B09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lastRenderedPageBreak/>
        <w:t>где </w:t>
      </w:r>
      <w:r w:rsidRPr="00A96D09">
        <w:rPr>
          <w:rStyle w:val="katex-mathml"/>
          <w:color w:val="0F1115"/>
          <w:bdr w:val="none" w:sz="0" w:space="0" w:color="auto" w:frame="1"/>
        </w:rPr>
        <w:t>β0=</w:t>
      </w:r>
      <w:r w:rsidR="00F97604">
        <w:rPr>
          <w:rStyle w:val="katex-mathml"/>
          <w:color w:val="0F1115"/>
          <w:bdr w:val="none" w:sz="0" w:space="0" w:color="auto" w:frame="1"/>
        </w:rPr>
        <w:t>1,3</w:t>
      </w:r>
      <w:r w:rsidRPr="00A96D09">
        <w:rPr>
          <w:rStyle w:val="katex-mathml"/>
          <w:color w:val="0F1115"/>
          <w:bdr w:val="none" w:sz="0" w:space="0" w:color="auto" w:frame="1"/>
        </w:rPr>
        <w:t>5</w:t>
      </w:r>
      <w:r w:rsidRPr="00A96D09">
        <w:rPr>
          <w:color w:val="0F1115"/>
        </w:rPr>
        <w:t>, </w:t>
      </w:r>
      <w:r w:rsidRPr="00A96D09">
        <w:rPr>
          <w:rStyle w:val="katex-mathml"/>
          <w:color w:val="0F1115"/>
          <w:bdr w:val="none" w:sz="0" w:space="0" w:color="auto" w:frame="1"/>
        </w:rPr>
        <w:t>α1=−0,1</w:t>
      </w:r>
      <w:r w:rsidR="00F97604">
        <w:rPr>
          <w:rStyle w:val="katex-mathml"/>
          <w:color w:val="0F1115"/>
          <w:bdr w:val="none" w:sz="0" w:space="0" w:color="auto" w:frame="1"/>
        </w:rPr>
        <w:t>2</w:t>
      </w:r>
      <w:r w:rsidRPr="00A96D09">
        <w:rPr>
          <w:color w:val="0F1115"/>
        </w:rPr>
        <w:t>, </w:t>
      </w:r>
      <w:r w:rsidRPr="00A96D09">
        <w:rPr>
          <w:rStyle w:val="katex-mathml"/>
          <w:color w:val="0F1115"/>
          <w:bdr w:val="none" w:sz="0" w:space="0" w:color="auto" w:frame="1"/>
        </w:rPr>
        <w:t>α2=0,25</w:t>
      </w:r>
      <w:r w:rsidRPr="00A96D09">
        <w:rPr>
          <w:color w:val="0F1115"/>
        </w:rPr>
        <w:t>— коэффициенты, заимствованные из откалиброванной математической модели; 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ε</w:t>
      </w:r>
      <w:r w:rsidRPr="00A96D09">
        <w:rPr>
          <w:rStyle w:val="katex-mathml"/>
          <w:rFonts w:ascii="Cambria Math" w:hAnsi="Cambria Math" w:cs="Cambria Math"/>
          <w:color w:val="0F1115"/>
          <w:bdr w:val="none" w:sz="0" w:space="0" w:color="auto" w:frame="1"/>
        </w:rPr>
        <w:t>∼</w:t>
      </w:r>
      <w:proofErr w:type="gramStart"/>
      <w:r w:rsidRPr="00A96D09">
        <w:rPr>
          <w:rStyle w:val="katex-mathml"/>
          <w:color w:val="0F1115"/>
          <w:bdr w:val="none" w:sz="0" w:space="0" w:color="auto" w:frame="1"/>
        </w:rPr>
        <w:t>N</w:t>
      </w:r>
      <w:proofErr w:type="spellEnd"/>
      <w:r w:rsidRPr="00A96D09">
        <w:rPr>
          <w:rStyle w:val="katex-mathml"/>
          <w:color w:val="0F1115"/>
          <w:bdr w:val="none" w:sz="0" w:space="0" w:color="auto" w:frame="1"/>
        </w:rPr>
        <w:t>(</w:t>
      </w:r>
      <w:proofErr w:type="gramEnd"/>
      <w:r w:rsidRPr="00A96D09">
        <w:rPr>
          <w:rStyle w:val="katex-mathml"/>
          <w:color w:val="0F1115"/>
          <w:bdr w:val="none" w:sz="0" w:space="0" w:color="auto" w:frame="1"/>
        </w:rPr>
        <w:t>0;0,5)</w:t>
      </w:r>
      <w:r w:rsidRPr="00A96D09">
        <w:rPr>
          <w:color w:val="0F1115"/>
        </w:rPr>
        <w:t>— случайная ошибка, отражающая неучтённые индивидуальные факторы. Полезность железнодорожного транспорта нормирована: 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Urail</w:t>
      </w:r>
      <w:proofErr w:type="spellEnd"/>
      <w:r w:rsidRPr="00A96D09">
        <w:rPr>
          <w:rStyle w:val="katex-mathml"/>
          <w:color w:val="0F1115"/>
          <w:bdr w:val="none" w:sz="0" w:space="0" w:color="auto" w:frame="1"/>
        </w:rPr>
        <w:t>=0</w:t>
      </w:r>
      <w:r w:rsidRPr="00A96D09">
        <w:rPr>
          <w:rStyle w:val="mord"/>
          <w:i/>
          <w:iCs/>
          <w:color w:val="0F1115"/>
        </w:rPr>
        <w:t>Urail</w:t>
      </w:r>
      <w:r w:rsidRPr="00A96D09">
        <w:rPr>
          <w:rStyle w:val="vlist-s"/>
          <w:rFonts w:eastAsiaTheme="majorEastAsia"/>
          <w:color w:val="0F1115"/>
        </w:rPr>
        <w:t>​</w:t>
      </w:r>
      <w:r w:rsidRPr="00A96D09">
        <w:rPr>
          <w:rStyle w:val="mrel"/>
          <w:color w:val="0F1115"/>
        </w:rPr>
        <w:t>=</w:t>
      </w:r>
      <w:r w:rsidRPr="00A96D09">
        <w:rPr>
          <w:rStyle w:val="mord"/>
          <w:color w:val="0F1115"/>
        </w:rPr>
        <w:t>0</w:t>
      </w:r>
      <w:r w:rsidRPr="00A96D09">
        <w:rPr>
          <w:color w:val="0F1115"/>
        </w:rPr>
        <w:t>. Агент выбирает автомобильный транспорт, если 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Uroad</w:t>
      </w:r>
      <w:proofErr w:type="spellEnd"/>
      <w:r w:rsidRPr="00A96D09">
        <w:rPr>
          <w:rStyle w:val="katex-mathml"/>
          <w:color w:val="0F1115"/>
          <w:bdr w:val="none" w:sz="0" w:space="0" w:color="auto" w:frame="1"/>
        </w:rPr>
        <w:t>&gt;</w:t>
      </w:r>
      <w:proofErr w:type="spellStart"/>
      <w:r w:rsidRPr="00A96D09">
        <w:rPr>
          <w:rStyle w:val="katex-mathml"/>
          <w:color w:val="0F1115"/>
          <w:bdr w:val="none" w:sz="0" w:space="0" w:color="auto" w:frame="1"/>
        </w:rPr>
        <w:t>Urai</w:t>
      </w:r>
      <w:proofErr w:type="spellEnd"/>
      <w:r w:rsidR="008A48A1">
        <w:rPr>
          <w:rStyle w:val="katex-mathml"/>
          <w:color w:val="0F1115"/>
          <w:bdr w:val="none" w:sz="0" w:space="0" w:color="auto" w:frame="1"/>
          <w:lang w:val="en-US"/>
        </w:rPr>
        <w:t>l</w:t>
      </w:r>
      <w:r w:rsidR="008A48A1" w:rsidRPr="008A48A1">
        <w:rPr>
          <w:rStyle w:val="katex-mathml"/>
          <w:color w:val="0F1115"/>
          <w:bdr w:val="none" w:sz="0" w:space="0" w:color="auto" w:frame="1"/>
        </w:rPr>
        <w:t xml:space="preserve"> </w:t>
      </w:r>
      <w:r w:rsidR="008A48A1">
        <w:rPr>
          <w:rStyle w:val="katex-mathml"/>
          <w:color w:val="0F1115"/>
          <w:bdr w:val="none" w:sz="0" w:space="0" w:color="auto" w:frame="1"/>
          <w:lang w:val="en-US"/>
        </w:rPr>
        <w:t>c</w:t>
      </w:r>
      <w:bookmarkStart w:id="2" w:name="_GoBack"/>
      <w:bookmarkEnd w:id="2"/>
      <w:r w:rsidRPr="00A96D09">
        <w:rPr>
          <w:color w:val="0F1115"/>
        </w:rPr>
        <w:t xml:space="preserve"> учётом издержек переключения.</w:t>
      </w:r>
    </w:p>
    <w:p w14:paraId="278B5D6E" w14:textId="77777777" w:rsidR="00A96D09" w:rsidRPr="00A96D09" w:rsidRDefault="00A96D09" w:rsidP="00A96D09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Учёт простоев.</w:t>
      </w:r>
      <w:r w:rsidRPr="00A96D09">
        <w:rPr>
          <w:color w:val="0F1115"/>
        </w:rPr>
        <w:t> Если агент выбирает железнодорожный транспорт, но его груз не может быть отправлен оптимально (простой), он теряет 0,5 % от стоимости груза за месяц. Для упрощения дефицит провозных мощностей не моделируется: предполагается, что оба вида транспорта доступны.</w:t>
      </w:r>
    </w:p>
    <w:p w14:paraId="288C1343" w14:textId="77777777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>Исходные параметры модели сведены в таблицу 3.</w:t>
      </w:r>
    </w:p>
    <w:p w14:paraId="20CBC410" w14:textId="77777777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rStyle w:val="af8"/>
          <w:color w:val="0F1115"/>
        </w:rPr>
        <w:t>Таблица 3 – Исходные параметры имитационного эксперимента</w:t>
      </w:r>
    </w:p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3396"/>
      </w:tblGrid>
      <w:tr w:rsidR="00A96D09" w:rsidRPr="00A96D09" w14:paraId="167C603D" w14:textId="77777777" w:rsidTr="00893CE3">
        <w:trPr>
          <w:trHeight w:val="4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D61AB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8BE61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A96D09" w:rsidRPr="00A96D09" w14:paraId="7F01F110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C533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Число агентов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E027A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1000</w:t>
            </w:r>
          </w:p>
        </w:tc>
      </w:tr>
      <w:tr w:rsidR="00A96D09" w:rsidRPr="00A96D09" w14:paraId="3F2FD8D8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9DE7D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Начальная доля автомобильного транспорта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15A3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83,8 % (839 агентов)</w:t>
            </w:r>
          </w:p>
        </w:tc>
      </w:tr>
      <w:tr w:rsidR="00A96D09" w:rsidRPr="00A96D09" w14:paraId="4D6E1AB6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EAD03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Суммарный годовой объём перевозок (авто + ж/д), млн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01E10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8 082</w:t>
            </w:r>
          </w:p>
        </w:tc>
      </w:tr>
      <w:tr w:rsidR="00A96D09" w:rsidRPr="00A96D09" w14:paraId="61DDB242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39C39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Средний месячный объём отправки агента, тыс.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D03F5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674</w:t>
            </w:r>
          </w:p>
        </w:tc>
      </w:tr>
      <w:tr w:rsidR="00A96D09" w:rsidRPr="00A96D09" w14:paraId="2C19CF01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692B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СКО объёма отправки, тыс. 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B4C46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200</w:t>
            </w:r>
          </w:p>
        </w:tc>
      </w:tr>
      <w:tr w:rsidR="00A96D09" w:rsidRPr="00A96D09" w14:paraId="7A5441E1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72E54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Среднее ожидаемое ΔC (LLM-прогноз)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94BF7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+1,8 %</w:t>
            </w:r>
          </w:p>
        </w:tc>
      </w:tr>
      <w:tr w:rsidR="00A96D09" w:rsidRPr="00A96D09" w14:paraId="2D372931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5E63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СКО ΔC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1A301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0,5 %</w:t>
            </w:r>
          </w:p>
        </w:tc>
      </w:tr>
      <w:tr w:rsidR="00A96D09" w:rsidRPr="00A96D09" w14:paraId="627F59B2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40FBF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Среднее ожидаемое ΔGDP (LLM-прогноз)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EF26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+1,5 %</w:t>
            </w:r>
          </w:p>
        </w:tc>
      </w:tr>
      <w:tr w:rsidR="00A96D09" w:rsidRPr="00A96D09" w14:paraId="28ED4F71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0FA26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СКО ΔGDP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960A5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0,4 %</w:t>
            </w:r>
          </w:p>
        </w:tc>
      </w:tr>
      <w:tr w:rsidR="00A96D09" w:rsidRPr="00A96D09" w14:paraId="3388CC2A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700D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β₀ (константа полезности авто)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07FEF" w14:textId="15615C30" w:rsidR="00A96D09" w:rsidRPr="00A96D09" w:rsidRDefault="00893CE3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+1,3</w:t>
            </w:r>
            <w:r w:rsidR="00A96D09" w:rsidRPr="00A96D09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A96D09" w:rsidRPr="00A96D09" w14:paraId="71ADCBDD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4705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α₁ (коэффициент при ΔC)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A4389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–0,12</w:t>
            </w:r>
          </w:p>
        </w:tc>
      </w:tr>
      <w:tr w:rsidR="00A96D09" w:rsidRPr="00A96D09" w14:paraId="0EFF1AA2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2C91C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α₂ (коэффициент при ΔGDP)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9F955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+0,25</w:t>
            </w:r>
          </w:p>
        </w:tc>
      </w:tr>
      <w:tr w:rsidR="00A96D09" w:rsidRPr="00A96D09" w14:paraId="3B4A8E8C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69C7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lastRenderedPageBreak/>
              <w:t>СКО случайной ошибки 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E895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0,5</w:t>
            </w:r>
          </w:p>
        </w:tc>
      </w:tr>
      <w:tr w:rsidR="00A96D09" w:rsidRPr="00A96D09" w14:paraId="2E4075D8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526C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Издержки переключения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5D09B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2 % от стоимости перевозки</w:t>
            </w:r>
          </w:p>
        </w:tc>
      </w:tr>
      <w:tr w:rsidR="00A96D09" w:rsidRPr="00A96D09" w14:paraId="5E38FB7A" w14:textId="77777777" w:rsidTr="00893CE3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5A766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Издержки простоя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3F348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0,5 % от стоимости груза в месяц</w:t>
            </w:r>
          </w:p>
        </w:tc>
      </w:tr>
      <w:tr w:rsidR="00A96D09" w:rsidRPr="00A96D09" w14:paraId="1EA2F731" w14:textId="77777777" w:rsidTr="00893CE3">
        <w:trPr>
          <w:trHeight w:val="4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46DDB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Число прогонов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75208" w14:textId="77777777" w:rsidR="00A96D09" w:rsidRPr="00A96D09" w:rsidRDefault="00A96D09" w:rsidP="00893CE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A96D09">
              <w:rPr>
                <w:rFonts w:cs="Times New Roman"/>
                <w:sz w:val="24"/>
                <w:szCs w:val="24"/>
              </w:rPr>
              <w:t>10</w:t>
            </w:r>
          </w:p>
        </w:tc>
      </w:tr>
    </w:tbl>
    <w:p w14:paraId="6CF1D70F" w14:textId="77777777" w:rsidR="00A96D09" w:rsidRPr="00A96D09" w:rsidRDefault="00A96D09" w:rsidP="00A96D09">
      <w:pPr>
        <w:pStyle w:val="2"/>
        <w:shd w:val="clear" w:color="auto" w:fill="FFFFFF"/>
        <w:rPr>
          <w:color w:val="0F1115"/>
          <w:sz w:val="24"/>
          <w:szCs w:val="24"/>
        </w:rPr>
      </w:pPr>
      <w:r w:rsidRPr="00A96D09">
        <w:rPr>
          <w:color w:val="0F1115"/>
          <w:sz w:val="24"/>
          <w:szCs w:val="24"/>
        </w:rPr>
        <w:t xml:space="preserve">Реализация в </w:t>
      </w:r>
      <w:proofErr w:type="spellStart"/>
      <w:r w:rsidRPr="00A96D09">
        <w:rPr>
          <w:color w:val="0F1115"/>
          <w:sz w:val="24"/>
          <w:szCs w:val="24"/>
        </w:rPr>
        <w:t>Excel</w:t>
      </w:r>
      <w:proofErr w:type="spellEnd"/>
    </w:p>
    <w:p w14:paraId="14D44680" w14:textId="7ED505BC" w:rsid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 xml:space="preserve">Модель реализована в среде </w:t>
      </w:r>
      <w:proofErr w:type="spellStart"/>
      <w:r w:rsidRPr="00A96D09">
        <w:rPr>
          <w:color w:val="0F1115"/>
        </w:rPr>
        <w:t>Microsoft</w:t>
      </w:r>
      <w:proofErr w:type="spellEnd"/>
      <w:r w:rsidRPr="00A96D09">
        <w:rPr>
          <w:color w:val="0F1115"/>
        </w:rPr>
        <w:t xml:space="preserve"> </w:t>
      </w:r>
      <w:proofErr w:type="spellStart"/>
      <w:r w:rsidRPr="00A96D09">
        <w:rPr>
          <w:color w:val="0F1115"/>
        </w:rPr>
        <w:t>Excel</w:t>
      </w:r>
      <w:proofErr w:type="spellEnd"/>
      <w:r w:rsidRPr="00A96D09">
        <w:rPr>
          <w:color w:val="0F1115"/>
        </w:rPr>
        <w:t xml:space="preserve"> без использования макросов. Каждый прогон соответствует одному пересчёту листа (клавиша F9). Фрагмент расчётной таблицы агентов представлен на рисунке 5.</w:t>
      </w:r>
    </w:p>
    <w:p w14:paraId="4D4A084A" w14:textId="69450BC4" w:rsidR="00152E8A" w:rsidRPr="00A96D09" w:rsidRDefault="00152E8A" w:rsidP="00F97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152E8A">
        <w:rPr>
          <w:color w:val="0F1115"/>
        </w:rPr>
        <w:drawing>
          <wp:inline distT="0" distB="0" distL="0" distR="0" wp14:anchorId="18E13FD6" wp14:editId="35E4AF92">
            <wp:extent cx="4274276" cy="2392114"/>
            <wp:effectExtent l="19050" t="19050" r="12065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1291" cy="2401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14D48" w14:textId="7777F18A" w:rsidR="00A96D09" w:rsidRPr="00C96878" w:rsidRDefault="00A96D09" w:rsidP="00F97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color w:val="0F1115"/>
        </w:rPr>
      </w:pPr>
      <w:r w:rsidRPr="00C96878">
        <w:rPr>
          <w:rStyle w:val="af9"/>
          <w:i w:val="0"/>
          <w:color w:val="0F1115"/>
        </w:rPr>
        <w:t>Рисунок 5 – Фрагмент таб</w:t>
      </w:r>
      <w:r w:rsidR="00C96878" w:rsidRPr="00C96878">
        <w:rPr>
          <w:rStyle w:val="af9"/>
          <w:i w:val="0"/>
          <w:color w:val="0F1115"/>
        </w:rPr>
        <w:t>лицы агентов с расчётом решений</w:t>
      </w:r>
    </w:p>
    <w:p w14:paraId="7221D441" w14:textId="77777777" w:rsidR="00A96D09" w:rsidRPr="00A96D09" w:rsidRDefault="00A96D09" w:rsidP="00A96D09">
      <w:pPr>
        <w:pStyle w:val="2"/>
        <w:shd w:val="clear" w:color="auto" w:fill="FFFFFF"/>
        <w:rPr>
          <w:color w:val="0F1115"/>
          <w:sz w:val="24"/>
          <w:szCs w:val="24"/>
        </w:rPr>
      </w:pPr>
      <w:r w:rsidRPr="00A96D09">
        <w:rPr>
          <w:color w:val="0F1115"/>
          <w:sz w:val="24"/>
          <w:szCs w:val="24"/>
        </w:rPr>
        <w:t>Результаты имитационного эксперимента</w:t>
      </w:r>
    </w:p>
    <w:p w14:paraId="16D8C664" w14:textId="5DE8CAA1" w:rsid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>Было проведено 10 прогонов модели (каждый прогон — независимая реализация случайных ожиданий и ошибок). Для каждого месяца рассчитывались средняя доля автомобильного транспорта и стандартное отклонение по всем прогонам. Результаты представлены на рисунке 7.</w:t>
      </w:r>
    </w:p>
    <w:p w14:paraId="46B26FA9" w14:textId="198213E3" w:rsidR="00C96878" w:rsidRPr="00A96D09" w:rsidRDefault="00C96878" w:rsidP="00F97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C96878">
        <w:rPr>
          <w:color w:val="0F1115"/>
        </w:rPr>
        <w:drawing>
          <wp:inline distT="0" distB="0" distL="0" distR="0" wp14:anchorId="2E419EB8" wp14:editId="6139DC34">
            <wp:extent cx="5330190" cy="1076409"/>
            <wp:effectExtent l="19050" t="19050" r="22860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2095" cy="1078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F98B6" w14:textId="637DEF5C" w:rsidR="00A96D09" w:rsidRPr="00C96878" w:rsidRDefault="00A96D09" w:rsidP="00F9760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color w:val="0F1115"/>
        </w:rPr>
      </w:pPr>
      <w:r w:rsidRPr="00C96878">
        <w:rPr>
          <w:rStyle w:val="af9"/>
          <w:i w:val="0"/>
          <w:color w:val="0F1115"/>
        </w:rPr>
        <w:lastRenderedPageBreak/>
        <w:t>Рисунок 7 – Средняя доля автомобильного транспорта и довери</w:t>
      </w:r>
      <w:r w:rsidR="00C96878" w:rsidRPr="00C96878">
        <w:rPr>
          <w:rStyle w:val="af9"/>
          <w:i w:val="0"/>
          <w:color w:val="0F1115"/>
        </w:rPr>
        <w:t>тельный интервал по 10 прогонам</w:t>
      </w:r>
    </w:p>
    <w:p w14:paraId="7446690C" w14:textId="2B5D14FB" w:rsidR="00A96D09" w:rsidRPr="00A96D09" w:rsidRDefault="00A96D09" w:rsidP="007616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>На конец 24-го месяца средняя доля автомобильного транспорта составила </w:t>
      </w:r>
      <w:r w:rsidR="00152E8A">
        <w:rPr>
          <w:rStyle w:val="af8"/>
          <w:color w:val="0F1115"/>
        </w:rPr>
        <w:t>8</w:t>
      </w:r>
      <w:r w:rsidR="00F97604">
        <w:rPr>
          <w:rStyle w:val="af8"/>
          <w:color w:val="0F1115"/>
        </w:rPr>
        <w:t>7</w:t>
      </w:r>
      <w:r w:rsidR="00761671">
        <w:rPr>
          <w:rStyle w:val="af8"/>
          <w:color w:val="0F1115"/>
        </w:rPr>
        <w:t>,5</w:t>
      </w:r>
      <w:r w:rsidRPr="00A96D09">
        <w:rPr>
          <w:rStyle w:val="af8"/>
          <w:color w:val="0F1115"/>
        </w:rPr>
        <w:t xml:space="preserve"> %.</w:t>
      </w:r>
      <w:r w:rsidRPr="00A96D09">
        <w:rPr>
          <w:color w:val="0F1115"/>
        </w:rPr>
        <w:t xml:space="preserve"> Это практически совпадает с прогнозом математической модели (87,7 %). </w:t>
      </w:r>
    </w:p>
    <w:p w14:paraId="4C38F2D6" w14:textId="77777777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>Сравнение результатов имитационного и математического моделирования приведено в таблице 4.</w:t>
      </w:r>
    </w:p>
    <w:p w14:paraId="3FC8D0C9" w14:textId="18B407ED" w:rsidR="00A96D09" w:rsidRPr="00F97604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8"/>
          <w:b w:val="0"/>
          <w:color w:val="0F1115"/>
        </w:rPr>
      </w:pPr>
      <w:r w:rsidRPr="00F97604">
        <w:rPr>
          <w:rStyle w:val="af8"/>
          <w:b w:val="0"/>
          <w:color w:val="0F1115"/>
        </w:rPr>
        <w:t>Таблица 4 – Сравнение результатов математической и имитационной моделей</w:t>
      </w:r>
    </w:p>
    <w:p w14:paraId="4DA0DA2D" w14:textId="0BFBFD2A" w:rsidR="00F97604" w:rsidRPr="00A96D09" w:rsidRDefault="00F97604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F97604">
        <w:rPr>
          <w:color w:val="0F1115"/>
        </w:rPr>
        <w:drawing>
          <wp:inline distT="0" distB="0" distL="0" distR="0" wp14:anchorId="5D2BF78B" wp14:editId="7AC46DAD">
            <wp:extent cx="3210373" cy="20386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CD64" w14:textId="77777777" w:rsidR="00A96D09" w:rsidRPr="00A96D09" w:rsidRDefault="00A96D09" w:rsidP="00A96D09">
      <w:pPr>
        <w:pStyle w:val="2"/>
        <w:shd w:val="clear" w:color="auto" w:fill="FFFFFF"/>
        <w:rPr>
          <w:color w:val="0F1115"/>
          <w:sz w:val="24"/>
          <w:szCs w:val="24"/>
        </w:rPr>
      </w:pPr>
      <w:r w:rsidRPr="00A96D09">
        <w:rPr>
          <w:color w:val="0F1115"/>
          <w:sz w:val="24"/>
          <w:szCs w:val="24"/>
        </w:rPr>
        <w:t>Вывод</w:t>
      </w:r>
    </w:p>
    <w:p w14:paraId="35CC4CEC" w14:textId="77777777" w:rsidR="00A96D09" w:rsidRPr="00A96D09" w:rsidRDefault="00A96D09" w:rsidP="00A96D0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</w:rPr>
      </w:pPr>
      <w:r w:rsidRPr="00A96D09">
        <w:rPr>
          <w:color w:val="0F1115"/>
        </w:rPr>
        <w:t xml:space="preserve">Имитационная модель подтверждает результаты, полученные в математической модели: при сохранении текущих экономических тенденций и ожиданий доля автомобильного транспорта продолжит плавный рост, оставаясь доминирующей. Разброс результатов по прогонам невелик (стандартное отклонение около 1,3 </w:t>
      </w:r>
      <w:proofErr w:type="spellStart"/>
      <w:r w:rsidRPr="00A96D09">
        <w:rPr>
          <w:color w:val="0F1115"/>
        </w:rPr>
        <w:t>п.п</w:t>
      </w:r>
      <w:proofErr w:type="spellEnd"/>
      <w:r w:rsidRPr="00A96D09">
        <w:rPr>
          <w:color w:val="0F1115"/>
        </w:rPr>
        <w:t>.), что говорит об устойчивости прогноза к случайным вариациям ожиданий. Модель проста в реализации, не требует специализированного программного обеспечения и может быть легко модифицирована для сценарного анализа (изменение средних ожиданий, порога издержек и т.п.).</w:t>
      </w:r>
    </w:p>
    <w:p w14:paraId="6466C856" w14:textId="77777777" w:rsidR="00652641" w:rsidRPr="00652641" w:rsidRDefault="00652641" w:rsidP="000370ED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ПРОВЕРКА ЭФФЕКТИВНОСТИ ИСПОЛЬЗОВАНИЯ РАЗРАБОТАННЫХ МОДЕЛЕЙ</w:t>
      </w:r>
    </w:p>
    <w:p w14:paraId="56208081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Проверка математической модели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br/>
        <w:t>Математическая модель калибрована на фактических данных Росстата за 2020–2024 гг. Проверка точности вне выборки (2025 г., 1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е полугодие) показала, что модель с LLM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 xml:space="preserve">ожиданиями даёт среднюю абсолютную ошибку доли автотранспорта 0.8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п.п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., тогда как модель с наивными ожиданиями (простая экстраполяция) – 1.5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п.п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. Следовательно, учёт ожиданий, генерируемых агентом, повышает точность прогноза. Анализ чувствительности показал, что при изменении коэффициента </w:t>
      </w:r>
      <w:r w:rsidRPr="00652641">
        <w:rPr>
          <w:rFonts w:eastAsia="Times New Roman" w:cs="Times New Roman"/>
          <w:color w:val="0F1115"/>
          <w:sz w:val="24"/>
          <w:szCs w:val="24"/>
          <w:bdr w:val="none" w:sz="0" w:space="0" w:color="auto" w:frame="1"/>
          <w:lang w:eastAsia="ru-RU"/>
        </w:rPr>
        <w:t>β2</w:t>
      </w:r>
      <w:r w:rsidRPr="00652641">
        <w:rPr>
          <w:rFonts w:eastAsia="Times New Roman" w:cs="Times New Roman"/>
          <w:i/>
          <w:iCs/>
          <w:color w:val="0F1115"/>
          <w:sz w:val="24"/>
          <w:szCs w:val="24"/>
          <w:lang w:eastAsia="ru-RU"/>
        </w:rPr>
        <w:t>β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2​ на ±20% доля автотранспорта через 24 месяца меняется в пределах 0.5–1.2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п.п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., что говорит о робастности выводов.</w:t>
      </w:r>
    </w:p>
    <w:p w14:paraId="37EEB8F8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Проверка имитационной модели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br/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Симуляционная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модель прошла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валидацию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сравнением распределения долей по 50 прогонам с историческими квартальными колебаниями доли автотранспорта (2018–2024). Стандартное отклонение доли в симуляции (1.2%) близко к историческому (1.4%), что подтверждает реалистичность стохастической составляющей. Кроме того, модель успешно прошла тест на экстремальный сценарий: при введении шокового роста цен на топливо (+30% за месяц) доля автотранспорта снижается на 4–5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п.п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. в течение полугода, что соответствует логике экономического поведения.</w:t>
      </w:r>
    </w:p>
    <w:p w14:paraId="5C3ACF58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sz w:val="24"/>
          <w:szCs w:val="24"/>
          <w:lang w:eastAsia="ru-RU"/>
        </w:rPr>
        <w:t>Ограничения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br/>
        <w:t>Модели предполагают стационарность макроэкономических связей и не учитывают регуляторные шоки (например, резкое изменение тарифов РЖД). LLM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агент имитируется упрощённой функцией, а не полноценной языковой моделью, поэтому тонкие семантические сдвиги новостного фона могут улавливаться лишь частично. Рекомендуется использовать модели на горизонте до 2 лет и обновлять калибровку не реже раза в квартал.</w:t>
      </w:r>
    </w:p>
    <w:p w14:paraId="57314739" w14:textId="77777777" w:rsidR="00652641" w:rsidRPr="00652641" w:rsidRDefault="00652641" w:rsidP="00FA42D6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РЕКОМЕНДАЦИИ ПО ИСПОЛЬЗОВАНИЮ</w:t>
      </w:r>
    </w:p>
    <w:p w14:paraId="188630E6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Разработанный инструментарий может быть полезен:</w:t>
      </w:r>
    </w:p>
    <w:p w14:paraId="6F0E9D33" w14:textId="77777777" w:rsidR="00652641" w:rsidRPr="000370ED" w:rsidRDefault="00652641" w:rsidP="00652641">
      <w:pPr>
        <w:numPr>
          <w:ilvl w:val="0"/>
          <w:numId w:val="32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bCs/>
          <w:color w:val="0F1115"/>
          <w:sz w:val="24"/>
          <w:szCs w:val="24"/>
          <w:lang w:eastAsia="ru-RU"/>
        </w:rPr>
        <w:t>Транспортно-логистическим компаниям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 – для стратегического планирования парка и инфраструктуры, оценки влияния новостного фона на рыночную долю.</w:t>
      </w:r>
    </w:p>
    <w:p w14:paraId="1EB1AFD4" w14:textId="77777777" w:rsidR="00652641" w:rsidRPr="000370ED" w:rsidRDefault="00652641" w:rsidP="00652641">
      <w:pPr>
        <w:numPr>
          <w:ilvl w:val="0"/>
          <w:numId w:val="32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bCs/>
          <w:color w:val="0F1115"/>
          <w:sz w:val="24"/>
          <w:szCs w:val="24"/>
          <w:lang w:eastAsia="ru-RU"/>
        </w:rPr>
        <w:t>Регуляторам (Минтранс, ФАС)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 – для сценарного анализа последствий изменения тарифной политики и мониторинга реакции рынка.</w:t>
      </w:r>
    </w:p>
    <w:p w14:paraId="21B32D10" w14:textId="77777777" w:rsidR="00652641" w:rsidRPr="000370ED" w:rsidRDefault="00652641" w:rsidP="00652641">
      <w:pPr>
        <w:numPr>
          <w:ilvl w:val="0"/>
          <w:numId w:val="32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bCs/>
          <w:color w:val="0F1115"/>
          <w:sz w:val="24"/>
          <w:szCs w:val="24"/>
          <w:lang w:eastAsia="ru-RU"/>
        </w:rPr>
        <w:t>Исследовательским центрам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 – как платформа для изучения поведенческих аспектов принятия решений в транспортной отрасли с применением современных AI-инструментов.</w:t>
      </w:r>
    </w:p>
    <w:p w14:paraId="71D47881" w14:textId="77777777" w:rsidR="00652641" w:rsidRPr="000370ED" w:rsidRDefault="00652641" w:rsidP="00652641">
      <w:pPr>
        <w:numPr>
          <w:ilvl w:val="0"/>
          <w:numId w:val="32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bCs/>
          <w:color w:val="0F1115"/>
          <w:sz w:val="24"/>
          <w:szCs w:val="24"/>
          <w:lang w:eastAsia="ru-RU"/>
        </w:rPr>
        <w:t>Вузам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 – в учебных курсах по экономике транспорта, эконометрике и </w:t>
      </w:r>
      <w:proofErr w:type="spellStart"/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агентному</w:t>
      </w:r>
      <w:proofErr w:type="spellEnd"/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моделированию.</w:t>
      </w:r>
    </w:p>
    <w:p w14:paraId="7F1FE7D1" w14:textId="77777777" w:rsidR="00652641" w:rsidRPr="000370ED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При работе с моделями необходимо:</w:t>
      </w:r>
    </w:p>
    <w:p w14:paraId="060D3FFB" w14:textId="77777777" w:rsidR="00652641" w:rsidRPr="000370ED" w:rsidRDefault="00652641" w:rsidP="00652641">
      <w:pPr>
        <w:numPr>
          <w:ilvl w:val="0"/>
          <w:numId w:val="3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Актуализировать новостные потоки и </w:t>
      </w:r>
      <w:proofErr w:type="spellStart"/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перекалибровывать</w:t>
      </w:r>
      <w:proofErr w:type="spellEnd"/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коэффициенты LLM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функции с привлечением реальной языковой модели (например, разовым опросом модели по историческим новостям).</w:t>
      </w:r>
    </w:p>
    <w:p w14:paraId="455C27D2" w14:textId="77777777" w:rsidR="00652641" w:rsidRPr="000370ED" w:rsidRDefault="00652641" w:rsidP="00652641">
      <w:pPr>
        <w:numPr>
          <w:ilvl w:val="0"/>
          <w:numId w:val="3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Использовать не менее 100 прогонов имитационной модели для получения устойчивых статистических характеристик.</w:t>
      </w:r>
    </w:p>
    <w:p w14:paraId="7B70807F" w14:textId="77777777" w:rsidR="00652641" w:rsidRPr="000370ED" w:rsidRDefault="00652641" w:rsidP="00652641">
      <w:pPr>
        <w:numPr>
          <w:ilvl w:val="0"/>
          <w:numId w:val="3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Учитывать, что модели ориентированы на агрегированные показатели и не учитывают узкие места конкретных транспортных коридоров; для детализированного регионального анализа требуется адаптация.</w:t>
      </w:r>
    </w:p>
    <w:p w14:paraId="25FE86D8" w14:textId="77777777" w:rsidR="00652641" w:rsidRPr="00652641" w:rsidRDefault="00652641" w:rsidP="00652641">
      <w:pPr>
        <w:numPr>
          <w:ilvl w:val="0"/>
          <w:numId w:val="33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t>При интерпретации результатов помнить, что LLM</w:t>
      </w:r>
      <w:r w:rsidRPr="000370ED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агент лишь воспроизводит эвристики человеческого восприятия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текстов, но не обладает предвидением.</w:t>
      </w:r>
    </w:p>
    <w:p w14:paraId="3087C5F1" w14:textId="77777777" w:rsidR="00652641" w:rsidRPr="00652641" w:rsidRDefault="00652641" w:rsidP="00652641">
      <w:pPr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t>ЗАКЛЮЧЕНИЕ</w:t>
      </w:r>
    </w:p>
    <w:p w14:paraId="63C16E3D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В ходе выполнения проекта разработан и апробирован комплекс из математической и имитационной моделей, в которых большая языковая модель выступает в качестве когнитивного агента, формирующего экономические ожидания грузоотправителей. На основе данных Росстата по перевозкам грузов по видам транспорта построен прогноз доли автомобильного и железнодорожного транспорта на период до двух лет, демонстрирующий плавный рост доли автотранспорта под влиянием умеренно негативных ожиданий по стоимости топлива и сдержанного экономического роста.</w:t>
      </w:r>
    </w:p>
    <w:p w14:paraId="0EAF0323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Анализ предметной области показал, что интеграция LLM в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-ориентированные симуляции является перспективным направлением, позволяющим учесть субъективные экономические ожидания, которые трудно формализовать классическими методами. Математическая модель на основе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логит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-выбора дала количественный прогноз, а имитационная модель подтвердила его устойчивость в стохастической среде и 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lastRenderedPageBreak/>
        <w:t>гетерогенной популяции агентов. Проверка эффективности подтвердила преимущество моделей с LLM</w:t>
      </w: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noBreakHyphen/>
        <w:t>ожиданиями перед упрощёнными подходами.</w:t>
      </w:r>
    </w:p>
    <w:p w14:paraId="6B181B8C" w14:textId="77777777" w:rsidR="00652641" w:rsidRPr="00652641" w:rsidRDefault="00652641" w:rsidP="00652641">
      <w:p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Разработанные модели могут служить основой для создания более сложных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симуляционных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платформ, в которых реальные LLM обрабатывают поток деловых новостей и в реальном времени корректируют поведение виртуальных перевозчиков. Внедрение таких систем позволит повысить качество прогнозирования в транспортной отрасли и дать лицам, принимающим решения, новый инструмент анализа ожиданий рынка.</w:t>
      </w:r>
    </w:p>
    <w:p w14:paraId="16E5AECA" w14:textId="77777777" w:rsidR="00652641" w:rsidRPr="00652641" w:rsidRDefault="00652641" w:rsidP="00FA42D6">
      <w:pPr>
        <w:pageBreakBefore/>
        <w:numPr>
          <w:ilvl w:val="0"/>
          <w:numId w:val="7"/>
        </w:numPr>
        <w:shd w:val="clear" w:color="auto" w:fill="FFFFFF"/>
        <w:ind w:left="0" w:firstLine="709"/>
        <w:outlineLvl w:val="0"/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 w:rsidRPr="00652641">
        <w:rPr>
          <w:rFonts w:eastAsia="Times New Roman" w:cs="Times New Roman"/>
          <w:b/>
          <w:bCs/>
          <w:color w:val="0F1115"/>
          <w:kern w:val="36"/>
          <w:sz w:val="24"/>
          <w:szCs w:val="24"/>
          <w:lang w:eastAsia="ru-RU"/>
        </w:rPr>
        <w:lastRenderedPageBreak/>
        <w:t>СПИСОК ЛИТЕРАТУРЫ</w:t>
      </w:r>
    </w:p>
    <w:p w14:paraId="4C957B3E" w14:textId="77777777" w:rsidR="00652641" w:rsidRPr="00652641" w:rsidRDefault="00652641" w:rsidP="00652641">
      <w:pPr>
        <w:numPr>
          <w:ilvl w:val="0"/>
          <w:numId w:val="34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Росстат. Транспорт в России. 2024: Стат. сб. – М., 2024. – 109 с.</w:t>
      </w:r>
    </w:p>
    <w:p w14:paraId="1DA5CE7F" w14:textId="77777777" w:rsidR="00652641" w:rsidRPr="00652641" w:rsidRDefault="00652641" w:rsidP="00652641">
      <w:pPr>
        <w:numPr>
          <w:ilvl w:val="0"/>
          <w:numId w:val="34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Баскаков В. Н., Мальцев А. А. Моделирование грузовых перевозок: методы и прогнозы. – М.: ВИНИТИ РАН, 2021. – 216 с.</w:t>
      </w:r>
    </w:p>
    <w:p w14:paraId="0D954701" w14:textId="2C355E35" w:rsidR="00652641" w:rsidRDefault="00652641" w:rsidP="00652641">
      <w:pPr>
        <w:numPr>
          <w:ilvl w:val="0"/>
          <w:numId w:val="34"/>
        </w:numPr>
        <w:shd w:val="clear" w:color="auto" w:fill="FFFFFF"/>
        <w:ind w:left="0" w:firstLine="709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Громов А. И., Федотов А. В. Когнитивные архитектуры в </w:t>
      </w:r>
      <w:proofErr w:type="spellStart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>агентном</w:t>
      </w:r>
      <w:proofErr w:type="spellEnd"/>
      <w:r w:rsidRPr="00652641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моделировании экономических систем // Искусственный интеллект и принятие решений. – 2023. – № 2. – С. 15–28.</w:t>
      </w:r>
    </w:p>
    <w:p w14:paraId="1B141442" w14:textId="03264DD7" w:rsidR="00F616E9" w:rsidRPr="00F616E9" w:rsidRDefault="00F616E9" w:rsidP="00F616E9">
      <w:pPr>
        <w:numPr>
          <w:ilvl w:val="0"/>
          <w:numId w:val="34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Сбербанк. </w:t>
      </w:r>
      <w:proofErr w:type="spellStart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>GigaChat</w:t>
      </w:r>
      <w:proofErr w:type="spellEnd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 xml:space="preserve">: масштабная русскоязычная языковая модель </w:t>
      </w:r>
      <w:r w:rsidR="009E04F8">
        <w:rPr>
          <w:rFonts w:eastAsia="Times New Roman" w:cs="Times New Roman"/>
          <w:color w:val="0F1115"/>
          <w:sz w:val="24"/>
          <w:szCs w:val="24"/>
          <w:lang w:eastAsia="ru-RU"/>
        </w:rPr>
        <w:t xml:space="preserve">/ Команда </w:t>
      </w:r>
      <w:proofErr w:type="spellStart"/>
      <w:r w:rsidR="009E04F8">
        <w:rPr>
          <w:rFonts w:eastAsia="Times New Roman" w:cs="Times New Roman"/>
          <w:color w:val="0F1115"/>
          <w:sz w:val="24"/>
          <w:szCs w:val="24"/>
          <w:lang w:eastAsia="ru-RU"/>
        </w:rPr>
        <w:t>GigaChat</w:t>
      </w:r>
      <w:proofErr w:type="spellEnd"/>
      <w:r w:rsidR="009E04F8">
        <w:rPr>
          <w:rFonts w:eastAsia="Times New Roman" w:cs="Times New Roman"/>
          <w:color w:val="0F1115"/>
          <w:sz w:val="24"/>
          <w:szCs w:val="24"/>
          <w:lang w:eastAsia="ru-RU"/>
        </w:rPr>
        <w:t xml:space="preserve">, Сбербанк </w:t>
      </w:r>
    </w:p>
    <w:p w14:paraId="166BEABB" w14:textId="6227711B" w:rsidR="00F616E9" w:rsidRPr="00652641" w:rsidRDefault="00F616E9" w:rsidP="00F616E9">
      <w:pPr>
        <w:numPr>
          <w:ilvl w:val="0"/>
          <w:numId w:val="34"/>
        </w:numPr>
        <w:shd w:val="clear" w:color="auto" w:fill="FFFFFF"/>
        <w:rPr>
          <w:rFonts w:eastAsia="Times New Roman" w:cs="Times New Roman"/>
          <w:color w:val="0F1115"/>
          <w:sz w:val="24"/>
          <w:szCs w:val="24"/>
          <w:lang w:eastAsia="ru-RU"/>
        </w:rPr>
      </w:pPr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 xml:space="preserve">Яндекс. </w:t>
      </w:r>
      <w:proofErr w:type="spellStart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>YandexGPT</w:t>
      </w:r>
      <w:proofErr w:type="spellEnd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 xml:space="preserve">: языковая модель для русского языка / Команда </w:t>
      </w:r>
      <w:proofErr w:type="spellStart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>YandexGPT</w:t>
      </w:r>
      <w:proofErr w:type="spellEnd"/>
      <w:r w:rsidRPr="00F616E9">
        <w:rPr>
          <w:rFonts w:eastAsia="Times New Roman" w:cs="Times New Roman"/>
          <w:color w:val="0F1115"/>
          <w:sz w:val="24"/>
          <w:szCs w:val="24"/>
          <w:lang w:eastAsia="ru-RU"/>
        </w:rPr>
        <w:t xml:space="preserve"> // Официальный сайт компании Яндекс. – 2023.</w:t>
      </w:r>
    </w:p>
    <w:p w14:paraId="7A503A26" w14:textId="77777777" w:rsidR="008A3E83" w:rsidRPr="008A3E83" w:rsidRDefault="008A3E83" w:rsidP="008A3E83">
      <w:pPr>
        <w:jc w:val="right"/>
        <w:rPr>
          <w:lang w:eastAsia="ru-RU"/>
        </w:rPr>
      </w:pPr>
    </w:p>
    <w:sectPr w:rsidR="008A3E83" w:rsidRPr="008A3E83" w:rsidSect="00A4193E">
      <w:footerReference w:type="default" r:id="rId24"/>
      <w:footerReference w:type="first" r:id="rId25"/>
      <w:pgSz w:w="11906" w:h="16838"/>
      <w:pgMar w:top="1134" w:right="851" w:bottom="1134" w:left="1701" w:header="283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2423E3" w14:textId="77777777" w:rsidR="00990B57" w:rsidRDefault="00990B57" w:rsidP="008F559E">
      <w:pPr>
        <w:spacing w:line="240" w:lineRule="auto"/>
      </w:pPr>
      <w:r>
        <w:separator/>
      </w:r>
    </w:p>
  </w:endnote>
  <w:endnote w:type="continuationSeparator" w:id="0">
    <w:p w14:paraId="14375ECD" w14:textId="77777777" w:rsidR="00990B57" w:rsidRDefault="00990B57" w:rsidP="008F55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639937"/>
      <w:docPartObj>
        <w:docPartGallery w:val="Page Numbers (Bottom of Page)"/>
        <w:docPartUnique/>
      </w:docPartObj>
    </w:sdtPr>
    <w:sdtEndPr/>
    <w:sdtContent>
      <w:p w14:paraId="67DE8D91" w14:textId="294F0908" w:rsidR="008F559E" w:rsidRDefault="000D7723" w:rsidP="000D7723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287D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4998E" w14:textId="0F476DA1" w:rsidR="000D2C70" w:rsidRDefault="000D2C70" w:rsidP="000D2C70">
    <w:pPr>
      <w:pStyle w:val="a8"/>
      <w:ind w:firstLine="0"/>
      <w:jc w:val="center"/>
    </w:pPr>
    <w:r>
      <w:t>Москва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B51CC0" w14:textId="77777777" w:rsidR="00990B57" w:rsidRDefault="00990B57" w:rsidP="008F559E">
      <w:pPr>
        <w:spacing w:line="240" w:lineRule="auto"/>
      </w:pPr>
      <w:r>
        <w:separator/>
      </w:r>
    </w:p>
  </w:footnote>
  <w:footnote w:type="continuationSeparator" w:id="0">
    <w:p w14:paraId="22BD8EDF" w14:textId="77777777" w:rsidR="00990B57" w:rsidRDefault="00990B57" w:rsidP="008F55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8C8"/>
    <w:multiLevelType w:val="multilevel"/>
    <w:tmpl w:val="502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86B"/>
    <w:multiLevelType w:val="multilevel"/>
    <w:tmpl w:val="413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22F3"/>
    <w:multiLevelType w:val="hybridMultilevel"/>
    <w:tmpl w:val="2728B01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3621B2"/>
    <w:multiLevelType w:val="hybridMultilevel"/>
    <w:tmpl w:val="D6203F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855C58"/>
    <w:multiLevelType w:val="hybridMultilevel"/>
    <w:tmpl w:val="A3F0D3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370EBF"/>
    <w:multiLevelType w:val="hybridMultilevel"/>
    <w:tmpl w:val="CE8688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27C4004"/>
    <w:multiLevelType w:val="hybridMultilevel"/>
    <w:tmpl w:val="38B4C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C419A9"/>
    <w:multiLevelType w:val="hybridMultilevel"/>
    <w:tmpl w:val="59E28928"/>
    <w:lvl w:ilvl="0" w:tplc="40A210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805DA7"/>
    <w:multiLevelType w:val="hybridMultilevel"/>
    <w:tmpl w:val="33E09EF8"/>
    <w:lvl w:ilvl="0" w:tplc="0419000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7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4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9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6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366" w:hanging="360"/>
      </w:pPr>
      <w:rPr>
        <w:rFonts w:ascii="Wingdings" w:hAnsi="Wingdings" w:hint="default"/>
      </w:rPr>
    </w:lvl>
  </w:abstractNum>
  <w:abstractNum w:abstractNumId="9" w15:restartNumberingAfterBreak="0">
    <w:nsid w:val="1F332248"/>
    <w:multiLevelType w:val="hybridMultilevel"/>
    <w:tmpl w:val="D756B590"/>
    <w:lvl w:ilvl="0" w:tplc="40A210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337803"/>
    <w:multiLevelType w:val="multilevel"/>
    <w:tmpl w:val="239C92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19516BC"/>
    <w:multiLevelType w:val="multilevel"/>
    <w:tmpl w:val="A2E8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D60F1"/>
    <w:multiLevelType w:val="hybridMultilevel"/>
    <w:tmpl w:val="74A43DE6"/>
    <w:lvl w:ilvl="0" w:tplc="40A210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81206B"/>
    <w:multiLevelType w:val="multilevel"/>
    <w:tmpl w:val="A40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61498"/>
    <w:multiLevelType w:val="hybridMultilevel"/>
    <w:tmpl w:val="989E8F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3450D3"/>
    <w:multiLevelType w:val="multilevel"/>
    <w:tmpl w:val="0C66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44B11"/>
    <w:multiLevelType w:val="hybridMultilevel"/>
    <w:tmpl w:val="1DFEEB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65B07A6"/>
    <w:multiLevelType w:val="hybridMultilevel"/>
    <w:tmpl w:val="210E93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6C73B37"/>
    <w:multiLevelType w:val="hybridMultilevel"/>
    <w:tmpl w:val="2728B0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7736831"/>
    <w:multiLevelType w:val="hybridMultilevel"/>
    <w:tmpl w:val="FB7C5C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6D7E6E"/>
    <w:multiLevelType w:val="multilevel"/>
    <w:tmpl w:val="095C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44D29"/>
    <w:multiLevelType w:val="hybridMultilevel"/>
    <w:tmpl w:val="0D12D88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2707525"/>
    <w:multiLevelType w:val="hybridMultilevel"/>
    <w:tmpl w:val="B3A8D826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23" w15:restartNumberingAfterBreak="0">
    <w:nsid w:val="4704261F"/>
    <w:multiLevelType w:val="hybridMultilevel"/>
    <w:tmpl w:val="3A24F100"/>
    <w:lvl w:ilvl="0" w:tplc="40A210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82271A3"/>
    <w:multiLevelType w:val="multilevel"/>
    <w:tmpl w:val="8A5C62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861A9"/>
    <w:multiLevelType w:val="hybridMultilevel"/>
    <w:tmpl w:val="C702247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1CDD"/>
    <w:multiLevelType w:val="hybridMultilevel"/>
    <w:tmpl w:val="A4827818"/>
    <w:lvl w:ilvl="0" w:tplc="BEA44A08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952FA3"/>
    <w:multiLevelType w:val="multilevel"/>
    <w:tmpl w:val="7304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235FAD"/>
    <w:multiLevelType w:val="hybridMultilevel"/>
    <w:tmpl w:val="5B3A5C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34016FA"/>
    <w:multiLevelType w:val="hybridMultilevel"/>
    <w:tmpl w:val="46CEC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27BAF"/>
    <w:multiLevelType w:val="multilevel"/>
    <w:tmpl w:val="8F40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1245CB8"/>
    <w:multiLevelType w:val="multilevel"/>
    <w:tmpl w:val="AEE8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35034"/>
    <w:multiLevelType w:val="hybridMultilevel"/>
    <w:tmpl w:val="359854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024134"/>
    <w:multiLevelType w:val="hybridMultilevel"/>
    <w:tmpl w:val="A3F0D30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2A81295"/>
    <w:multiLevelType w:val="multilevel"/>
    <w:tmpl w:val="117A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314808"/>
    <w:multiLevelType w:val="multilevel"/>
    <w:tmpl w:val="1838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CE62F0"/>
    <w:multiLevelType w:val="hybridMultilevel"/>
    <w:tmpl w:val="C7FE0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8B40D8"/>
    <w:multiLevelType w:val="hybridMultilevel"/>
    <w:tmpl w:val="C5667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A92747"/>
    <w:multiLevelType w:val="hybridMultilevel"/>
    <w:tmpl w:val="20863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B3F1F"/>
    <w:multiLevelType w:val="hybridMultilevel"/>
    <w:tmpl w:val="B582BB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76559A0"/>
    <w:multiLevelType w:val="hybridMultilevel"/>
    <w:tmpl w:val="53E03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68776D6B"/>
    <w:multiLevelType w:val="hybridMultilevel"/>
    <w:tmpl w:val="EA30D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0F04B2"/>
    <w:multiLevelType w:val="hybridMultilevel"/>
    <w:tmpl w:val="BE6CE9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04B4A70"/>
    <w:multiLevelType w:val="multilevel"/>
    <w:tmpl w:val="F6D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37CF8"/>
    <w:multiLevelType w:val="multilevel"/>
    <w:tmpl w:val="F47CC1D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79F75057"/>
    <w:multiLevelType w:val="hybridMultilevel"/>
    <w:tmpl w:val="CDFCF85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2E0E70"/>
    <w:multiLevelType w:val="hybridMultilevel"/>
    <w:tmpl w:val="1C9E4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8"/>
  </w:num>
  <w:num w:numId="3">
    <w:abstractNumId w:val="26"/>
  </w:num>
  <w:num w:numId="4">
    <w:abstractNumId w:val="29"/>
  </w:num>
  <w:num w:numId="5">
    <w:abstractNumId w:val="8"/>
  </w:num>
  <w:num w:numId="6">
    <w:abstractNumId w:val="10"/>
  </w:num>
  <w:num w:numId="7">
    <w:abstractNumId w:val="44"/>
  </w:num>
  <w:num w:numId="8">
    <w:abstractNumId w:val="46"/>
  </w:num>
  <w:num w:numId="9">
    <w:abstractNumId w:val="39"/>
  </w:num>
  <w:num w:numId="10">
    <w:abstractNumId w:val="42"/>
  </w:num>
  <w:num w:numId="11">
    <w:abstractNumId w:val="5"/>
  </w:num>
  <w:num w:numId="12">
    <w:abstractNumId w:val="4"/>
  </w:num>
  <w:num w:numId="13">
    <w:abstractNumId w:val="28"/>
  </w:num>
  <w:num w:numId="14">
    <w:abstractNumId w:val="32"/>
  </w:num>
  <w:num w:numId="15">
    <w:abstractNumId w:val="36"/>
  </w:num>
  <w:num w:numId="16">
    <w:abstractNumId w:val="14"/>
  </w:num>
  <w:num w:numId="17">
    <w:abstractNumId w:val="33"/>
  </w:num>
  <w:num w:numId="18">
    <w:abstractNumId w:val="45"/>
  </w:num>
  <w:num w:numId="19">
    <w:abstractNumId w:val="3"/>
  </w:num>
  <w:num w:numId="20">
    <w:abstractNumId w:val="37"/>
  </w:num>
  <w:num w:numId="21">
    <w:abstractNumId w:val="17"/>
  </w:num>
  <w:num w:numId="22">
    <w:abstractNumId w:val="18"/>
  </w:num>
  <w:num w:numId="23">
    <w:abstractNumId w:val="16"/>
  </w:num>
  <w:num w:numId="24">
    <w:abstractNumId w:val="41"/>
  </w:num>
  <w:num w:numId="25">
    <w:abstractNumId w:val="21"/>
  </w:num>
  <w:num w:numId="26">
    <w:abstractNumId w:val="25"/>
  </w:num>
  <w:num w:numId="27">
    <w:abstractNumId w:val="22"/>
  </w:num>
  <w:num w:numId="28">
    <w:abstractNumId w:val="2"/>
  </w:num>
  <w:num w:numId="29">
    <w:abstractNumId w:val="6"/>
  </w:num>
  <w:num w:numId="30">
    <w:abstractNumId w:val="30"/>
  </w:num>
  <w:num w:numId="31">
    <w:abstractNumId w:val="27"/>
  </w:num>
  <w:num w:numId="32">
    <w:abstractNumId w:val="0"/>
  </w:num>
  <w:num w:numId="33">
    <w:abstractNumId w:val="31"/>
  </w:num>
  <w:num w:numId="34">
    <w:abstractNumId w:val="35"/>
  </w:num>
  <w:num w:numId="35">
    <w:abstractNumId w:val="40"/>
  </w:num>
  <w:num w:numId="36">
    <w:abstractNumId w:val="13"/>
  </w:num>
  <w:num w:numId="37">
    <w:abstractNumId w:val="11"/>
  </w:num>
  <w:num w:numId="38">
    <w:abstractNumId w:val="20"/>
  </w:num>
  <w:num w:numId="39">
    <w:abstractNumId w:val="1"/>
  </w:num>
  <w:num w:numId="40">
    <w:abstractNumId w:val="43"/>
  </w:num>
  <w:num w:numId="41">
    <w:abstractNumId w:val="19"/>
  </w:num>
  <w:num w:numId="42">
    <w:abstractNumId w:val="9"/>
  </w:num>
  <w:num w:numId="43">
    <w:abstractNumId w:val="24"/>
  </w:num>
  <w:num w:numId="44">
    <w:abstractNumId w:val="12"/>
  </w:num>
  <w:num w:numId="45">
    <w:abstractNumId w:val="23"/>
  </w:num>
  <w:num w:numId="46">
    <w:abstractNumId w:val="7"/>
  </w:num>
  <w:num w:numId="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732"/>
    <w:rsid w:val="000026A3"/>
    <w:rsid w:val="00003A38"/>
    <w:rsid w:val="00006465"/>
    <w:rsid w:val="00022726"/>
    <w:rsid w:val="00033E17"/>
    <w:rsid w:val="00035F93"/>
    <w:rsid w:val="000370ED"/>
    <w:rsid w:val="00044E3F"/>
    <w:rsid w:val="000460C9"/>
    <w:rsid w:val="00055FA8"/>
    <w:rsid w:val="00066732"/>
    <w:rsid w:val="00075620"/>
    <w:rsid w:val="00086267"/>
    <w:rsid w:val="00087194"/>
    <w:rsid w:val="00087E6A"/>
    <w:rsid w:val="000A24E6"/>
    <w:rsid w:val="000D287D"/>
    <w:rsid w:val="000D2C70"/>
    <w:rsid w:val="000D7723"/>
    <w:rsid w:val="000D7D0F"/>
    <w:rsid w:val="000E2B06"/>
    <w:rsid w:val="001023A9"/>
    <w:rsid w:val="00105C84"/>
    <w:rsid w:val="001148B7"/>
    <w:rsid w:val="00120BB3"/>
    <w:rsid w:val="00135C52"/>
    <w:rsid w:val="00145072"/>
    <w:rsid w:val="00145B85"/>
    <w:rsid w:val="00152E8A"/>
    <w:rsid w:val="0015446F"/>
    <w:rsid w:val="0016396E"/>
    <w:rsid w:val="00163B2A"/>
    <w:rsid w:val="001712EB"/>
    <w:rsid w:val="00172759"/>
    <w:rsid w:val="00175EF4"/>
    <w:rsid w:val="0018254D"/>
    <w:rsid w:val="00185157"/>
    <w:rsid w:val="001855A6"/>
    <w:rsid w:val="00193E4A"/>
    <w:rsid w:val="0019459E"/>
    <w:rsid w:val="00196E52"/>
    <w:rsid w:val="001C0C84"/>
    <w:rsid w:val="001C0D45"/>
    <w:rsid w:val="001C0D4C"/>
    <w:rsid w:val="001C2972"/>
    <w:rsid w:val="001E4A8C"/>
    <w:rsid w:val="001F2B9C"/>
    <w:rsid w:val="001F3C9E"/>
    <w:rsid w:val="001F5208"/>
    <w:rsid w:val="00202518"/>
    <w:rsid w:val="00213348"/>
    <w:rsid w:val="00217B24"/>
    <w:rsid w:val="00224EB2"/>
    <w:rsid w:val="002358C8"/>
    <w:rsid w:val="002401B3"/>
    <w:rsid w:val="002607C4"/>
    <w:rsid w:val="00262988"/>
    <w:rsid w:val="00267AEA"/>
    <w:rsid w:val="002769B7"/>
    <w:rsid w:val="00277582"/>
    <w:rsid w:val="00290FEC"/>
    <w:rsid w:val="0029143C"/>
    <w:rsid w:val="00294DB5"/>
    <w:rsid w:val="002C4AE7"/>
    <w:rsid w:val="002D07C4"/>
    <w:rsid w:val="002D4E2A"/>
    <w:rsid w:val="002D7719"/>
    <w:rsid w:val="002D7DF8"/>
    <w:rsid w:val="002E5C7D"/>
    <w:rsid w:val="002F4B45"/>
    <w:rsid w:val="002F5676"/>
    <w:rsid w:val="00301466"/>
    <w:rsid w:val="003107F2"/>
    <w:rsid w:val="003121ED"/>
    <w:rsid w:val="0031594C"/>
    <w:rsid w:val="00317C96"/>
    <w:rsid w:val="00322423"/>
    <w:rsid w:val="003240D3"/>
    <w:rsid w:val="00326187"/>
    <w:rsid w:val="00330E3E"/>
    <w:rsid w:val="0033669A"/>
    <w:rsid w:val="003371CD"/>
    <w:rsid w:val="00341807"/>
    <w:rsid w:val="003437AB"/>
    <w:rsid w:val="00345FE8"/>
    <w:rsid w:val="00347E5E"/>
    <w:rsid w:val="003504FB"/>
    <w:rsid w:val="003512DA"/>
    <w:rsid w:val="0035795B"/>
    <w:rsid w:val="00361687"/>
    <w:rsid w:val="0038068A"/>
    <w:rsid w:val="00380811"/>
    <w:rsid w:val="00386653"/>
    <w:rsid w:val="0038791D"/>
    <w:rsid w:val="003A541B"/>
    <w:rsid w:val="003B58E8"/>
    <w:rsid w:val="003C3AC5"/>
    <w:rsid w:val="003E2D5D"/>
    <w:rsid w:val="003E7219"/>
    <w:rsid w:val="003F25AC"/>
    <w:rsid w:val="00411081"/>
    <w:rsid w:val="00412512"/>
    <w:rsid w:val="00415543"/>
    <w:rsid w:val="00420AF3"/>
    <w:rsid w:val="00434C62"/>
    <w:rsid w:val="004425EC"/>
    <w:rsid w:val="004476F4"/>
    <w:rsid w:val="004521EC"/>
    <w:rsid w:val="004535E2"/>
    <w:rsid w:val="00471B32"/>
    <w:rsid w:val="004957FB"/>
    <w:rsid w:val="004976A0"/>
    <w:rsid w:val="004A3B68"/>
    <w:rsid w:val="004B08E0"/>
    <w:rsid w:val="004B2833"/>
    <w:rsid w:val="004B515F"/>
    <w:rsid w:val="004B673D"/>
    <w:rsid w:val="004C67A7"/>
    <w:rsid w:val="004D5CDE"/>
    <w:rsid w:val="004D747E"/>
    <w:rsid w:val="004E4933"/>
    <w:rsid w:val="004F0DB7"/>
    <w:rsid w:val="004F38A3"/>
    <w:rsid w:val="004F664D"/>
    <w:rsid w:val="005065F7"/>
    <w:rsid w:val="005131F5"/>
    <w:rsid w:val="00526FCA"/>
    <w:rsid w:val="005440B1"/>
    <w:rsid w:val="005528DF"/>
    <w:rsid w:val="00562FF3"/>
    <w:rsid w:val="00563D29"/>
    <w:rsid w:val="00570415"/>
    <w:rsid w:val="00573433"/>
    <w:rsid w:val="005777AB"/>
    <w:rsid w:val="00585733"/>
    <w:rsid w:val="005910AD"/>
    <w:rsid w:val="00594E2B"/>
    <w:rsid w:val="00597CA7"/>
    <w:rsid w:val="005A2951"/>
    <w:rsid w:val="005A5170"/>
    <w:rsid w:val="005A7BC4"/>
    <w:rsid w:val="005C3E4D"/>
    <w:rsid w:val="005C4EB4"/>
    <w:rsid w:val="005D528E"/>
    <w:rsid w:val="005D6276"/>
    <w:rsid w:val="005D6FF1"/>
    <w:rsid w:val="005E0324"/>
    <w:rsid w:val="005E2AB5"/>
    <w:rsid w:val="00601B55"/>
    <w:rsid w:val="00601B6E"/>
    <w:rsid w:val="006036B9"/>
    <w:rsid w:val="00610B32"/>
    <w:rsid w:val="00614B2F"/>
    <w:rsid w:val="006216FB"/>
    <w:rsid w:val="00621C7F"/>
    <w:rsid w:val="0062431A"/>
    <w:rsid w:val="00642A23"/>
    <w:rsid w:val="00643954"/>
    <w:rsid w:val="00643F22"/>
    <w:rsid w:val="00652641"/>
    <w:rsid w:val="006615A5"/>
    <w:rsid w:val="0067284E"/>
    <w:rsid w:val="00673540"/>
    <w:rsid w:val="0069086B"/>
    <w:rsid w:val="00691A31"/>
    <w:rsid w:val="0069634C"/>
    <w:rsid w:val="006A2062"/>
    <w:rsid w:val="006B4811"/>
    <w:rsid w:val="006B5BEF"/>
    <w:rsid w:val="006C2620"/>
    <w:rsid w:val="006C5FFA"/>
    <w:rsid w:val="006C69AD"/>
    <w:rsid w:val="006D0045"/>
    <w:rsid w:val="006D0F02"/>
    <w:rsid w:val="006D4A34"/>
    <w:rsid w:val="006D61C5"/>
    <w:rsid w:val="006E0CFB"/>
    <w:rsid w:val="006F638B"/>
    <w:rsid w:val="00701EE7"/>
    <w:rsid w:val="00710A7E"/>
    <w:rsid w:val="007122B3"/>
    <w:rsid w:val="0074330F"/>
    <w:rsid w:val="007513CA"/>
    <w:rsid w:val="00755045"/>
    <w:rsid w:val="00761671"/>
    <w:rsid w:val="00767315"/>
    <w:rsid w:val="0077704B"/>
    <w:rsid w:val="00783D8A"/>
    <w:rsid w:val="0079728E"/>
    <w:rsid w:val="007A0EC6"/>
    <w:rsid w:val="007A63C8"/>
    <w:rsid w:val="007B01D4"/>
    <w:rsid w:val="007B172E"/>
    <w:rsid w:val="007C3040"/>
    <w:rsid w:val="007C5D15"/>
    <w:rsid w:val="007D4CCD"/>
    <w:rsid w:val="007D51F9"/>
    <w:rsid w:val="007E22CA"/>
    <w:rsid w:val="00813B6A"/>
    <w:rsid w:val="00816393"/>
    <w:rsid w:val="0082565E"/>
    <w:rsid w:val="00831F11"/>
    <w:rsid w:val="00835116"/>
    <w:rsid w:val="00841006"/>
    <w:rsid w:val="00842FD4"/>
    <w:rsid w:val="00847546"/>
    <w:rsid w:val="00850DC8"/>
    <w:rsid w:val="00861AF2"/>
    <w:rsid w:val="00865678"/>
    <w:rsid w:val="00873D9B"/>
    <w:rsid w:val="00880E35"/>
    <w:rsid w:val="0088769D"/>
    <w:rsid w:val="00893CE3"/>
    <w:rsid w:val="008A3522"/>
    <w:rsid w:val="008A3E83"/>
    <w:rsid w:val="008A48A1"/>
    <w:rsid w:val="008A49A7"/>
    <w:rsid w:val="008B030A"/>
    <w:rsid w:val="008B519D"/>
    <w:rsid w:val="008C196C"/>
    <w:rsid w:val="008C4729"/>
    <w:rsid w:val="008C5106"/>
    <w:rsid w:val="008C7EBD"/>
    <w:rsid w:val="008D3434"/>
    <w:rsid w:val="008D4FFB"/>
    <w:rsid w:val="008D799A"/>
    <w:rsid w:val="008E5A3C"/>
    <w:rsid w:val="008F559E"/>
    <w:rsid w:val="008F6680"/>
    <w:rsid w:val="00900505"/>
    <w:rsid w:val="00900D5F"/>
    <w:rsid w:val="00903142"/>
    <w:rsid w:val="0091315B"/>
    <w:rsid w:val="0091612F"/>
    <w:rsid w:val="00927BC1"/>
    <w:rsid w:val="009365C4"/>
    <w:rsid w:val="00941361"/>
    <w:rsid w:val="00964A68"/>
    <w:rsid w:val="00971138"/>
    <w:rsid w:val="00974DC7"/>
    <w:rsid w:val="009768F8"/>
    <w:rsid w:val="00983E11"/>
    <w:rsid w:val="00987FAF"/>
    <w:rsid w:val="00990B57"/>
    <w:rsid w:val="009937DC"/>
    <w:rsid w:val="00997FE3"/>
    <w:rsid w:val="009A38E7"/>
    <w:rsid w:val="009A3AFC"/>
    <w:rsid w:val="009A50A7"/>
    <w:rsid w:val="009A6209"/>
    <w:rsid w:val="009C1B55"/>
    <w:rsid w:val="009C4D99"/>
    <w:rsid w:val="009D0E9B"/>
    <w:rsid w:val="009E04F8"/>
    <w:rsid w:val="009E4FB2"/>
    <w:rsid w:val="009F4D5B"/>
    <w:rsid w:val="009F751C"/>
    <w:rsid w:val="00A01B2D"/>
    <w:rsid w:val="00A02580"/>
    <w:rsid w:val="00A029F1"/>
    <w:rsid w:val="00A0473E"/>
    <w:rsid w:val="00A04746"/>
    <w:rsid w:val="00A14A25"/>
    <w:rsid w:val="00A1503E"/>
    <w:rsid w:val="00A16E48"/>
    <w:rsid w:val="00A30C9D"/>
    <w:rsid w:val="00A32E25"/>
    <w:rsid w:val="00A33312"/>
    <w:rsid w:val="00A33B24"/>
    <w:rsid w:val="00A358A0"/>
    <w:rsid w:val="00A40947"/>
    <w:rsid w:val="00A4193E"/>
    <w:rsid w:val="00A42F47"/>
    <w:rsid w:val="00A44049"/>
    <w:rsid w:val="00A577FB"/>
    <w:rsid w:val="00A57DE6"/>
    <w:rsid w:val="00A6456E"/>
    <w:rsid w:val="00A748A4"/>
    <w:rsid w:val="00A80227"/>
    <w:rsid w:val="00A82E23"/>
    <w:rsid w:val="00A86A34"/>
    <w:rsid w:val="00A96570"/>
    <w:rsid w:val="00A96D09"/>
    <w:rsid w:val="00AA0853"/>
    <w:rsid w:val="00AA58E4"/>
    <w:rsid w:val="00AB19A9"/>
    <w:rsid w:val="00AB261D"/>
    <w:rsid w:val="00AC2041"/>
    <w:rsid w:val="00AC2A33"/>
    <w:rsid w:val="00AC3B7B"/>
    <w:rsid w:val="00AD0ACD"/>
    <w:rsid w:val="00AE0160"/>
    <w:rsid w:val="00AE15CB"/>
    <w:rsid w:val="00AF0D4B"/>
    <w:rsid w:val="00B05411"/>
    <w:rsid w:val="00B055E0"/>
    <w:rsid w:val="00B10147"/>
    <w:rsid w:val="00B15F7C"/>
    <w:rsid w:val="00B16651"/>
    <w:rsid w:val="00B45969"/>
    <w:rsid w:val="00B462AA"/>
    <w:rsid w:val="00B52D82"/>
    <w:rsid w:val="00B532EE"/>
    <w:rsid w:val="00B62050"/>
    <w:rsid w:val="00B6318E"/>
    <w:rsid w:val="00B664C7"/>
    <w:rsid w:val="00B72832"/>
    <w:rsid w:val="00B81CA2"/>
    <w:rsid w:val="00BA2EBB"/>
    <w:rsid w:val="00BB0137"/>
    <w:rsid w:val="00BB066D"/>
    <w:rsid w:val="00BB23B9"/>
    <w:rsid w:val="00BB3DC8"/>
    <w:rsid w:val="00BB4492"/>
    <w:rsid w:val="00BC3E4F"/>
    <w:rsid w:val="00BD27B1"/>
    <w:rsid w:val="00BD5BC3"/>
    <w:rsid w:val="00BE0C38"/>
    <w:rsid w:val="00BE3A8C"/>
    <w:rsid w:val="00BE3CB0"/>
    <w:rsid w:val="00BE6C99"/>
    <w:rsid w:val="00BF026D"/>
    <w:rsid w:val="00BF1C67"/>
    <w:rsid w:val="00BF257C"/>
    <w:rsid w:val="00BF4547"/>
    <w:rsid w:val="00C06BD7"/>
    <w:rsid w:val="00C10143"/>
    <w:rsid w:val="00C15E08"/>
    <w:rsid w:val="00C2706E"/>
    <w:rsid w:val="00C42B6D"/>
    <w:rsid w:val="00C452BA"/>
    <w:rsid w:val="00C51883"/>
    <w:rsid w:val="00C56205"/>
    <w:rsid w:val="00C60184"/>
    <w:rsid w:val="00C7281E"/>
    <w:rsid w:val="00C81EE3"/>
    <w:rsid w:val="00C86E6F"/>
    <w:rsid w:val="00C94983"/>
    <w:rsid w:val="00C96878"/>
    <w:rsid w:val="00CA64E6"/>
    <w:rsid w:val="00CB2E36"/>
    <w:rsid w:val="00CC4C84"/>
    <w:rsid w:val="00CC5378"/>
    <w:rsid w:val="00CD67EC"/>
    <w:rsid w:val="00CD6ABE"/>
    <w:rsid w:val="00CD7664"/>
    <w:rsid w:val="00CF2AC0"/>
    <w:rsid w:val="00D0323E"/>
    <w:rsid w:val="00D13943"/>
    <w:rsid w:val="00D1407F"/>
    <w:rsid w:val="00D1539A"/>
    <w:rsid w:val="00D15DE9"/>
    <w:rsid w:val="00D35372"/>
    <w:rsid w:val="00D3700E"/>
    <w:rsid w:val="00D469AE"/>
    <w:rsid w:val="00D46E74"/>
    <w:rsid w:val="00D56C3C"/>
    <w:rsid w:val="00D60B49"/>
    <w:rsid w:val="00D658D7"/>
    <w:rsid w:val="00D8593B"/>
    <w:rsid w:val="00D928B9"/>
    <w:rsid w:val="00D933F5"/>
    <w:rsid w:val="00DA0091"/>
    <w:rsid w:val="00DA3A56"/>
    <w:rsid w:val="00DA74AA"/>
    <w:rsid w:val="00DB2D94"/>
    <w:rsid w:val="00DB4AD7"/>
    <w:rsid w:val="00DC4E85"/>
    <w:rsid w:val="00DD2EFB"/>
    <w:rsid w:val="00DD7179"/>
    <w:rsid w:val="00DE1252"/>
    <w:rsid w:val="00DE66DC"/>
    <w:rsid w:val="00DE712A"/>
    <w:rsid w:val="00E0751E"/>
    <w:rsid w:val="00E122BC"/>
    <w:rsid w:val="00E12D88"/>
    <w:rsid w:val="00E149D6"/>
    <w:rsid w:val="00E23D29"/>
    <w:rsid w:val="00E26D8D"/>
    <w:rsid w:val="00E32D35"/>
    <w:rsid w:val="00E73F7F"/>
    <w:rsid w:val="00E845F5"/>
    <w:rsid w:val="00E96889"/>
    <w:rsid w:val="00EA73B3"/>
    <w:rsid w:val="00EB060B"/>
    <w:rsid w:val="00EB3A05"/>
    <w:rsid w:val="00EB4077"/>
    <w:rsid w:val="00EB5B21"/>
    <w:rsid w:val="00EC0734"/>
    <w:rsid w:val="00EC1BB8"/>
    <w:rsid w:val="00EC78E6"/>
    <w:rsid w:val="00ED05B0"/>
    <w:rsid w:val="00ED2ACE"/>
    <w:rsid w:val="00ED502F"/>
    <w:rsid w:val="00EE2ECF"/>
    <w:rsid w:val="00EF5C3D"/>
    <w:rsid w:val="00F01E35"/>
    <w:rsid w:val="00F06739"/>
    <w:rsid w:val="00F069E9"/>
    <w:rsid w:val="00F11C5C"/>
    <w:rsid w:val="00F1565B"/>
    <w:rsid w:val="00F16B63"/>
    <w:rsid w:val="00F32E3B"/>
    <w:rsid w:val="00F40A4A"/>
    <w:rsid w:val="00F451CC"/>
    <w:rsid w:val="00F6132C"/>
    <w:rsid w:val="00F616E9"/>
    <w:rsid w:val="00F77577"/>
    <w:rsid w:val="00F821FE"/>
    <w:rsid w:val="00F853DD"/>
    <w:rsid w:val="00F85B8F"/>
    <w:rsid w:val="00F951D4"/>
    <w:rsid w:val="00F97604"/>
    <w:rsid w:val="00FA42D6"/>
    <w:rsid w:val="00FA5E0E"/>
    <w:rsid w:val="00FB1584"/>
    <w:rsid w:val="00FB6697"/>
    <w:rsid w:val="00FC27B1"/>
    <w:rsid w:val="00FD3247"/>
    <w:rsid w:val="00FD49B9"/>
    <w:rsid w:val="00FD7814"/>
    <w:rsid w:val="00FD7DFA"/>
    <w:rsid w:val="00FE0F8C"/>
    <w:rsid w:val="00FE0FE0"/>
    <w:rsid w:val="00FF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4D24AF"/>
  <w15:chartTrackingRefBased/>
  <w15:docId w15:val="{4742BF17-2923-4EE5-AE39-C396CEA7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C7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0"/>
    <w:uiPriority w:val="9"/>
    <w:qFormat/>
    <w:rsid w:val="008B030A"/>
    <w:pPr>
      <w:numPr>
        <w:numId w:val="7"/>
      </w:numPr>
      <w:ind w:left="0" w:firstLine="0"/>
      <w:jc w:val="center"/>
      <w:outlineLvl w:val="0"/>
    </w:pPr>
    <w:rPr>
      <w:rFonts w:cs="Times New Roman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B030A"/>
    <w:pPr>
      <w:numPr>
        <w:ilvl w:val="1"/>
        <w:numId w:val="7"/>
      </w:numPr>
      <w:ind w:left="0" w:firstLine="709"/>
      <w:outlineLvl w:val="1"/>
    </w:pPr>
    <w:rPr>
      <w:rFonts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658D7"/>
    <w:pPr>
      <w:keepNext/>
      <w:keepLines/>
      <w:numPr>
        <w:ilvl w:val="2"/>
        <w:numId w:val="7"/>
      </w:numPr>
      <w:spacing w:before="40"/>
      <w:ind w:left="0" w:firstLine="709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тильПолитех"/>
    <w:basedOn w:val="a5"/>
    <w:qFormat/>
    <w:rsid w:val="00642A23"/>
    <w:pPr>
      <w:ind w:firstLine="709"/>
      <w:jc w:val="both"/>
    </w:pPr>
    <w:rPr>
      <w:rFonts w:ascii="Arial" w:hAnsi="Arial"/>
      <w:sz w:val="28"/>
    </w:rPr>
  </w:style>
  <w:style w:type="paragraph" w:styleId="a5">
    <w:name w:val="No Spacing"/>
    <w:uiPriority w:val="1"/>
    <w:qFormat/>
    <w:rsid w:val="00642A23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8F559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8F559E"/>
  </w:style>
  <w:style w:type="paragraph" w:styleId="a8">
    <w:name w:val="footer"/>
    <w:basedOn w:val="a"/>
    <w:link w:val="a9"/>
    <w:uiPriority w:val="99"/>
    <w:unhideWhenUsed/>
    <w:rsid w:val="008F559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8F559E"/>
  </w:style>
  <w:style w:type="character" w:styleId="aa">
    <w:name w:val="annotation reference"/>
    <w:basedOn w:val="a1"/>
    <w:uiPriority w:val="99"/>
    <w:semiHidden/>
    <w:unhideWhenUsed/>
    <w:rsid w:val="00F1565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F1565B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F1565B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F1565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F1565B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F156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F1565B"/>
    <w:rPr>
      <w:rFonts w:ascii="Segoe UI" w:hAnsi="Segoe UI" w:cs="Segoe UI"/>
      <w:sz w:val="18"/>
      <w:szCs w:val="18"/>
    </w:rPr>
  </w:style>
  <w:style w:type="paragraph" w:styleId="a0">
    <w:name w:val="List Paragraph"/>
    <w:basedOn w:val="a"/>
    <w:uiPriority w:val="34"/>
    <w:qFormat/>
    <w:rsid w:val="006B5BEF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8B030A"/>
    <w:rPr>
      <w:rFonts w:ascii="Times New Roman" w:hAnsi="Times New Roman" w:cs="Times New Roman"/>
      <w:b/>
      <w:bCs/>
      <w:cap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8B030A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D658D7"/>
    <w:rPr>
      <w:rFonts w:ascii="Times New Roman" w:eastAsiaTheme="majorEastAsia" w:hAnsi="Times New Roman" w:cstheme="majorBidi"/>
      <w:b/>
      <w:sz w:val="28"/>
      <w:szCs w:val="24"/>
    </w:rPr>
  </w:style>
  <w:style w:type="paragraph" w:styleId="af1">
    <w:name w:val="Title"/>
    <w:basedOn w:val="a"/>
    <w:next w:val="a"/>
    <w:link w:val="af2"/>
    <w:uiPriority w:val="10"/>
    <w:qFormat/>
    <w:rsid w:val="00343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1"/>
    <w:link w:val="af1"/>
    <w:uiPriority w:val="10"/>
    <w:rsid w:val="0034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3">
    <w:name w:val="Hyperlink"/>
    <w:basedOn w:val="a1"/>
    <w:uiPriority w:val="99"/>
    <w:unhideWhenUsed/>
    <w:rsid w:val="001023A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1023A9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1023A9"/>
    <w:rPr>
      <w:color w:val="954F72" w:themeColor="followed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B52D82"/>
    <w:pPr>
      <w:spacing w:after="200" w:line="240" w:lineRule="auto"/>
      <w:ind w:firstLine="0"/>
    </w:pPr>
    <w:rPr>
      <w:iCs/>
      <w:sz w:val="24"/>
      <w:szCs w:val="18"/>
    </w:rPr>
  </w:style>
  <w:style w:type="table" w:styleId="af6">
    <w:name w:val="Table Grid"/>
    <w:basedOn w:val="a2"/>
    <w:uiPriority w:val="39"/>
    <w:rsid w:val="006735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ibliography"/>
    <w:basedOn w:val="a"/>
    <w:next w:val="a"/>
    <w:uiPriority w:val="37"/>
    <w:unhideWhenUsed/>
    <w:rsid w:val="00900D5F"/>
    <w:pPr>
      <w:spacing w:after="240" w:line="240" w:lineRule="auto"/>
      <w:ind w:firstLine="0"/>
    </w:pPr>
  </w:style>
  <w:style w:type="paragraph" w:customStyle="1" w:styleId="Default">
    <w:name w:val="Default"/>
    <w:rsid w:val="00BB3D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0">
    <w:name w:val="Normal0"/>
    <w:qFormat/>
    <w:rsid w:val="004C67A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A96D0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8">
    <w:name w:val="Strong"/>
    <w:basedOn w:val="a1"/>
    <w:uiPriority w:val="22"/>
    <w:qFormat/>
    <w:rsid w:val="00A96D09"/>
    <w:rPr>
      <w:b/>
      <w:bCs/>
    </w:rPr>
  </w:style>
  <w:style w:type="character" w:customStyle="1" w:styleId="katex-mathml">
    <w:name w:val="katex-mathml"/>
    <w:basedOn w:val="a1"/>
    <w:rsid w:val="00A96D09"/>
  </w:style>
  <w:style w:type="character" w:customStyle="1" w:styleId="mord">
    <w:name w:val="mord"/>
    <w:basedOn w:val="a1"/>
    <w:rsid w:val="00A96D09"/>
  </w:style>
  <w:style w:type="character" w:customStyle="1" w:styleId="vlist-s">
    <w:name w:val="vlist-s"/>
    <w:basedOn w:val="a1"/>
    <w:rsid w:val="00A96D09"/>
  </w:style>
  <w:style w:type="character" w:customStyle="1" w:styleId="mrel">
    <w:name w:val="mrel"/>
    <w:basedOn w:val="a1"/>
    <w:rsid w:val="00A96D09"/>
  </w:style>
  <w:style w:type="character" w:customStyle="1" w:styleId="mbin">
    <w:name w:val="mbin"/>
    <w:basedOn w:val="a1"/>
    <w:rsid w:val="00A96D09"/>
  </w:style>
  <w:style w:type="character" w:customStyle="1" w:styleId="mpunct">
    <w:name w:val="mpunct"/>
    <w:basedOn w:val="a1"/>
    <w:rsid w:val="00A96D09"/>
  </w:style>
  <w:style w:type="character" w:customStyle="1" w:styleId="mopen">
    <w:name w:val="mopen"/>
    <w:basedOn w:val="a1"/>
    <w:rsid w:val="00A96D09"/>
  </w:style>
  <w:style w:type="character" w:customStyle="1" w:styleId="mclose">
    <w:name w:val="mclose"/>
    <w:basedOn w:val="a1"/>
    <w:rsid w:val="00A96D09"/>
  </w:style>
  <w:style w:type="character" w:styleId="af9">
    <w:name w:val="Emphasis"/>
    <w:basedOn w:val="a1"/>
    <w:uiPriority w:val="20"/>
    <w:qFormat/>
    <w:rsid w:val="00A96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6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2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2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rosstat.gov.ru/statistics/transport" TargetMode="External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D80F219CF65BE44AAB91CF4DE60C5B5" ma:contentTypeVersion="11" ma:contentTypeDescription="Создание документа." ma:contentTypeScope="" ma:versionID="c7f6f73cd8c64b964d1ca8c83e5ccaf7">
  <xsd:schema xmlns:xsd="http://www.w3.org/2001/XMLSchema" xmlns:xs="http://www.w3.org/2001/XMLSchema" xmlns:p="http://schemas.microsoft.com/office/2006/metadata/properties" xmlns:ns3="c0ae7177-6583-4739-a8f5-f0e65172b806" targetNamespace="http://schemas.microsoft.com/office/2006/metadata/properties" ma:root="true" ma:fieldsID="a5cae82a99aa3b58a0969c57328d286b" ns3:_="">
    <xsd:import namespace="c0ae7177-6583-4739-a8f5-f0e65172b8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e7177-6583-4739-a8f5-f0e65172b8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6EEE3-9C16-4428-9C44-3306910B15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2EB24B-D097-4E3D-8D3A-DD53CC4615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553F27-7A99-43FA-8FC0-BF58CED73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ae7177-6583-4739-a8f5-f0e65172b8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15681A1-22C3-46B7-BC77-8E685CA9F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19</Pages>
  <Words>3315</Words>
  <Characters>18900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И.И</dc:creator>
  <cp:keywords/>
  <dc:description/>
  <cp:lastModifiedBy>Анастасия</cp:lastModifiedBy>
  <cp:revision>10</cp:revision>
  <cp:lastPrinted>2024-02-12T14:54:00Z</cp:lastPrinted>
  <dcterms:created xsi:type="dcterms:W3CDTF">2026-04-15T08:43:00Z</dcterms:created>
  <dcterms:modified xsi:type="dcterms:W3CDTF">2026-05-21T08:54:00Z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0x0101004D80F219CF65BE44AAB91CF4DE60C5B5</vt:lpwstr>
  </property>
  <property fmtid="{D5CDD505-2E9C-101B-9397-08002B2CF9AE}" pid="3" name="ZOTERO_PREF_1">
    <vt:lpwstr>&lt;data data-version="3" zotero-version="6.0.30"&gt;&lt;session id="a9oJ9UfU"/&gt;&lt;style id="http://www.zotero.org/styles/GOST-R-7.0.5-2008%20numeric%20type-alphabetic" locale="ru-RU" hasBibliography="1" bibliographyStyleHasBeenSet="1"/&gt;&lt;prefs&gt;&lt;pref name="fieldType"</vt:lpwstr>
  </property>
  <property fmtid="{D5CDD505-2E9C-101B-9397-08002B2CF9AE}" pid="4" name="ZOTERO_PREF_2">
    <vt:lpwstr> value="Field"/&gt;&lt;/prefs&gt;&lt;/data&gt;</vt:lpwstr>
  </property>
</Properties>
</file>