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sz w:val="24"/>
        </w:rPr>
        <w:t>МИНИСТЕРСТВО НАУКИ И ВЫСШЕГО ОБРАЗОВАНИЯ РОССИЙСКОЙ ФЕДЕРАЦИИ</w:t>
      </w:r>
    </w:p>
    <w:p>
      <w:pPr>
        <w:ind w:firstLine="0"/>
        <w:jc w:val="center"/>
      </w:pPr>
      <w:r>
        <w:rPr>
          <w:sz w:val="24"/>
        </w:rPr>
        <w:t>Наименование образовательной организации</w:t>
      </w:r>
    </w:p>
    <w:p>
      <w:pPr>
        <w:ind w:firstLine="0"/>
        <w:jc w:val="center"/>
      </w:pPr>
      <w:r>
        <w:rPr>
          <w:sz w:val="24"/>
        </w:rPr>
        <w:t>Наименование института / факультета</w:t>
      </w:r>
    </w:p>
    <w:p>
      <w:pPr>
        <w:ind w:firstLine="0"/>
        <w:jc w:val="center"/>
      </w:pPr>
      <w:r>
        <w:rPr>
          <w:sz w:val="24"/>
        </w:rPr>
        <w:t>Наименование кафедры</w:t>
      </w:r>
    </w:p>
    <w:p/>
    <w:p/>
    <w:p/>
    <w:p>
      <w:pPr>
        <w:ind w:firstLine="0"/>
        <w:jc w:val="center"/>
      </w:pPr>
      <w:r>
        <w:rPr>
          <w:b/>
          <w:sz w:val="32"/>
        </w:rPr>
        <w:t>КУРСОВОЙ ПРОЕКТ</w:t>
      </w:r>
    </w:p>
    <w:p>
      <w:pPr>
        <w:ind w:firstLine="0"/>
        <w:jc w:val="center"/>
      </w:pPr>
      <w:r>
        <w:rPr>
          <w:b/>
          <w:sz w:val="32"/>
        </w:rPr>
        <w:t>Разработка интеграционного решения для взаимодействия информационных систем предприятия</w:t>
      </w:r>
    </w:p>
    <w:p/>
    <w:p/>
    <w:p/>
    <w:p>
      <w:pPr>
        <w:ind w:firstLine="0"/>
        <w:jc w:val="right"/>
      </w:pPr>
      <w:r>
        <w:t>Выполнил(а): студент(ка) группы __________</w:t>
      </w:r>
    </w:p>
    <w:p>
      <w:pPr>
        <w:ind w:firstLine="0"/>
        <w:jc w:val="right"/>
      </w:pPr>
      <w:r>
        <w:t>ФИО: _____________________________________</w:t>
      </w:r>
    </w:p>
    <w:p>
      <w:pPr>
        <w:ind w:firstLine="0"/>
        <w:jc w:val="right"/>
      </w:pPr>
      <w:r>
        <w:t>Руководитель: ____________________________</w:t>
      </w:r>
    </w:p>
    <w:p>
      <w:pPr>
        <w:ind w:firstLine="0"/>
        <w:jc w:val="right"/>
      </w:pPr>
      <w:r>
        <w:t>Должность / учёная степень: ________________</w:t>
      </w:r>
    </w:p>
    <w:p/>
    <w:p/>
    <w:p/>
    <w:p>
      <w:pPr>
        <w:ind w:firstLine="0"/>
        <w:jc w:val="center"/>
      </w:pPr>
      <w:r>
        <w:t>Город — 2026</w:t>
      </w:r>
    </w:p>
    <w:p>
      <w:r>
        <w:br w:type="page"/>
      </w:r>
    </w:p>
    <w:p>
      <w:pPr>
        <w:pStyle w:val="Heading1"/>
        <w:ind w:firstLine="0"/>
      </w:pPr>
      <w:r>
        <w:t>ЗАДАНИЕ НА КУРСОВОЕ ПРОЕКТИРОВАНИЕ</w:t>
      </w:r>
    </w:p>
    <w:tbl>
      <w:tblPr>
        <w:tblStyle w:val="TableGrid"/>
        <w:tblW w:type="auto" w:w="0"/>
        <w:jc w:val="center"/>
        <w:tblLook w:firstColumn="1" w:firstRow="1" w:lastColumn="0" w:lastRow="0" w:noHBand="0" w:noVBand="1" w:val="04A0"/>
      </w:tblPr>
      <w:tblGrid>
        <w:gridCol w:w="4844"/>
        <w:gridCol w:w="4844"/>
      </w:tblGrid>
      <w:tr>
        <w:tc>
          <w:tcPr>
            <w:tcW w:type="dxa" w:w="2268"/>
            <w:vAlign w:val="center"/>
            <w:shd w:fill="24476B"/>
          </w:tcPr>
          <w:p>
            <w:r>
              <w:rPr>
                <w:rFonts w:ascii="Times New Roman" w:hAnsi="Times New Roman"/>
                <w:b/>
                <w:color w:val="FFFFFF"/>
                <w:sz w:val="20"/>
              </w:rPr>
              <w:t>Параметр</w:t>
            </w:r>
          </w:p>
        </w:tc>
        <w:tc>
          <w:tcPr>
            <w:tcW w:type="dxa" w:w="6236"/>
            <w:vAlign w:val="center"/>
            <w:shd w:fill="24476B"/>
          </w:tcPr>
          <w:p>
            <w:r>
              <w:rPr>
                <w:rFonts w:ascii="Times New Roman" w:hAnsi="Times New Roman"/>
                <w:b/>
                <w:color w:val="FFFFFF"/>
                <w:sz w:val="20"/>
              </w:rPr>
              <w:t>Содержание</w:t>
            </w:r>
          </w:p>
        </w:tc>
      </w:tr>
      <w:tr>
        <w:tc>
          <w:tcPr>
            <w:tcW w:type="dxa" w:w="2268"/>
            <w:vAlign w:val="center"/>
          </w:tcPr>
          <w:p>
            <w:pPr>
              <w:spacing w:line="240" w:lineRule="auto" w:after="40"/>
              <w:ind w:firstLine="0"/>
            </w:pPr>
            <w:r>
              <w:rPr>
                <w:rFonts w:ascii="Times New Roman" w:hAnsi="Times New Roman"/>
                <w:sz w:val="20"/>
              </w:rPr>
              <w:t>Тема</w:t>
            </w:r>
          </w:p>
        </w:tc>
        <w:tc>
          <w:tcPr>
            <w:tcW w:type="dxa" w:w="6236"/>
            <w:vAlign w:val="center"/>
          </w:tcPr>
          <w:p>
            <w:pPr>
              <w:spacing w:line="240" w:lineRule="auto" w:after="40"/>
              <w:ind w:firstLine="0"/>
            </w:pPr>
            <w:r>
              <w:rPr>
                <w:rFonts w:ascii="Times New Roman" w:hAnsi="Times New Roman"/>
                <w:sz w:val="20"/>
              </w:rPr>
              <w:t>Разработка интеграционного решения для взаимодействия информационных систем предприятия</w:t>
            </w:r>
          </w:p>
        </w:tc>
      </w:tr>
      <w:tr>
        <w:tc>
          <w:tcPr>
            <w:tcW w:type="dxa" w:w="2268"/>
            <w:vAlign w:val="center"/>
          </w:tcPr>
          <w:p>
            <w:pPr>
              <w:spacing w:line="240" w:lineRule="auto" w:after="40"/>
              <w:ind w:firstLine="0"/>
            </w:pPr>
            <w:r>
              <w:rPr>
                <w:rFonts w:ascii="Times New Roman" w:hAnsi="Times New Roman"/>
                <w:sz w:val="20"/>
              </w:rPr>
              <w:t>Объект</w:t>
            </w:r>
          </w:p>
        </w:tc>
        <w:tc>
          <w:tcPr>
            <w:tcW w:type="dxa" w:w="6236"/>
            <w:vAlign w:val="center"/>
          </w:tcPr>
          <w:p>
            <w:pPr>
              <w:spacing w:line="240" w:lineRule="auto" w:after="40"/>
              <w:ind w:firstLine="0"/>
            </w:pPr>
            <w:r>
              <w:rPr>
                <w:rFonts w:ascii="Times New Roman" w:hAnsi="Times New Roman"/>
                <w:sz w:val="20"/>
              </w:rPr>
              <w:t>Информационные процессы условного интернет-магазина «ТехноДом»</w:t>
            </w:r>
          </w:p>
        </w:tc>
      </w:tr>
      <w:tr>
        <w:tc>
          <w:tcPr>
            <w:tcW w:type="dxa" w:w="2268"/>
            <w:vAlign w:val="center"/>
          </w:tcPr>
          <w:p>
            <w:pPr>
              <w:spacing w:line="240" w:lineRule="auto" w:after="40"/>
              <w:ind w:firstLine="0"/>
            </w:pPr>
            <w:r>
              <w:rPr>
                <w:rFonts w:ascii="Times New Roman" w:hAnsi="Times New Roman"/>
                <w:sz w:val="20"/>
              </w:rPr>
              <w:t>Предмет</w:t>
            </w:r>
          </w:p>
        </w:tc>
        <w:tc>
          <w:tcPr>
            <w:tcW w:type="dxa" w:w="6236"/>
            <w:vAlign w:val="center"/>
          </w:tcPr>
          <w:p>
            <w:pPr>
              <w:spacing w:line="240" w:lineRule="auto" w:after="40"/>
              <w:ind w:firstLine="0"/>
            </w:pPr>
            <w:r>
              <w:rPr>
                <w:rFonts w:ascii="Times New Roman" w:hAnsi="Times New Roman"/>
                <w:sz w:val="20"/>
              </w:rPr>
              <w:t>Архитектура и программные средства обмена данными между витриной магазина, складом, платёжной системой и CRM</w:t>
            </w:r>
          </w:p>
        </w:tc>
      </w:tr>
      <w:tr>
        <w:tc>
          <w:tcPr>
            <w:tcW w:type="dxa" w:w="2268"/>
            <w:vAlign w:val="center"/>
          </w:tcPr>
          <w:p>
            <w:pPr>
              <w:spacing w:line="240" w:lineRule="auto" w:after="40"/>
              <w:ind w:firstLine="0"/>
            </w:pPr>
            <w:r>
              <w:rPr>
                <w:rFonts w:ascii="Times New Roman" w:hAnsi="Times New Roman"/>
                <w:sz w:val="20"/>
              </w:rPr>
              <w:t>Цель</w:t>
            </w:r>
          </w:p>
        </w:tc>
        <w:tc>
          <w:tcPr>
            <w:tcW w:type="dxa" w:w="6236"/>
            <w:vAlign w:val="center"/>
          </w:tcPr>
          <w:p>
            <w:pPr>
              <w:spacing w:line="240" w:lineRule="auto" w:after="40"/>
              <w:ind w:firstLine="0"/>
            </w:pPr>
            <w:r>
              <w:rPr>
                <w:rFonts w:ascii="Times New Roman" w:hAnsi="Times New Roman"/>
                <w:sz w:val="20"/>
              </w:rPr>
              <w:t>Спроектировать архитектуру и создать проверяемый программный прототип интеграционного слоя для сквозной обработки заказа</w:t>
            </w:r>
          </w:p>
        </w:tc>
      </w:tr>
      <w:tr>
        <w:tc>
          <w:tcPr>
            <w:tcW w:type="dxa" w:w="2268"/>
            <w:vAlign w:val="center"/>
          </w:tcPr>
          <w:p>
            <w:pPr>
              <w:spacing w:line="240" w:lineRule="auto" w:after="40"/>
              <w:ind w:firstLine="0"/>
            </w:pPr>
            <w:r>
              <w:rPr>
                <w:rFonts w:ascii="Times New Roman" w:hAnsi="Times New Roman"/>
                <w:sz w:val="20"/>
              </w:rPr>
              <w:t>Результат</w:t>
            </w:r>
          </w:p>
        </w:tc>
        <w:tc>
          <w:tcPr>
            <w:tcW w:type="dxa" w:w="6236"/>
            <w:vAlign w:val="center"/>
          </w:tcPr>
          <w:p>
            <w:pPr>
              <w:spacing w:line="240" w:lineRule="auto" w:after="40"/>
              <w:ind w:firstLine="0"/>
            </w:pPr>
            <w:r>
              <w:rPr>
                <w:rFonts w:ascii="Times New Roman" w:hAnsi="Times New Roman"/>
                <w:sz w:val="20"/>
              </w:rPr>
              <w:t>Пояснительная записка, спецификации сообщений, прототип HTTP/JSON и демонстрационная презентация</w:t>
            </w:r>
          </w:p>
        </w:tc>
      </w:tr>
    </w:tbl>
    <w:p>
      <w:pPr>
        <w:spacing w:after="40"/>
      </w:pPr>
    </w:p>
    <w:p>
      <w:pPr>
        <w:pStyle w:val="Heading2"/>
        <w:ind w:firstLine="0"/>
      </w:pPr>
      <w:r>
        <w:t>Перечень основных задач</w:t>
      </w:r>
    </w:p>
    <w:p>
      <w:pPr>
        <w:pStyle w:val="ListNumber"/>
        <w:ind w:firstLine="0"/>
      </w:pPr>
      <w:r>
        <w:t>Исследовать процессы оформления, оплаты и исполнения заказа в выбранном сценарии.</w:t>
      </w:r>
    </w:p>
    <w:p>
      <w:pPr>
        <w:pStyle w:val="ListNumber"/>
        <w:ind w:firstLine="0"/>
      </w:pPr>
      <w:r>
        <w:t>Сформировать функциональные и нефункциональные требования к обмену.</w:t>
      </w:r>
    </w:p>
    <w:p>
      <w:pPr>
        <w:pStyle w:val="ListNumber"/>
        <w:ind w:firstLine="0"/>
      </w:pPr>
      <w:r>
        <w:t>Сравнить стили интеграции и обосновать событийную архитектуру с синхронным API для команды.</w:t>
      </w:r>
    </w:p>
    <w:p>
      <w:pPr>
        <w:pStyle w:val="ListNumber"/>
        <w:ind w:firstLine="0"/>
      </w:pPr>
      <w:r>
        <w:t>Описать компоненты, контракты, последовательность обмена и обработку отказов.</w:t>
      </w:r>
    </w:p>
    <w:p>
      <w:pPr>
        <w:pStyle w:val="ListNumber"/>
        <w:ind w:firstLine="0"/>
      </w:pPr>
      <w:r>
        <w:t>Реализовать локальный прототип и проверить типовые и ошибочные сценарии.</w:t>
      </w:r>
    </w:p>
    <w:p>
      <w:pPr>
        <w:pStyle w:val="ListNumber"/>
        <w:ind w:firstLine="0"/>
      </w:pPr>
      <w:r>
        <w:t>Подготовить рекомендации по переходу от учебной модели к промышленному решению.</w:t>
      </w:r>
    </w:p>
    <w:p>
      <w:r>
        <w:t>Исходные допущения: организация и используемые системы являются условной учебной моделью. Названия, цены, остатки и тестовые идентификаторы приведены для демонстрации логики и не описывают реальную компанию.</w:t>
      </w:r>
    </w:p>
    <w:p>
      <w:r>
        <w:t>Срок выполнения: ____________________     Подпись студента: ____________________</w:t>
      </w:r>
    </w:p>
    <w:p>
      <w:r>
        <w:br w:type="page"/>
      </w:r>
    </w:p>
    <w:p>
      <w:pPr>
        <w:pStyle w:val="Heading1"/>
        <w:ind w:firstLine="0"/>
      </w:pPr>
      <w:r>
        <w:t>РЕФЕРАТ</w:t>
      </w:r>
    </w:p>
    <w:p>
      <w:r>
        <w:t>Пояснительная записка содержит описание интеграционного решения для сквозной обработки заказа интернет-магазина. Рассматривается взаимодействие веб-витрины, системы складского учёта, платёжного шлюза и CRM. Цель работы состоит в снижении несогласованности данных при переходе заказа между системами и в обеспечении контролируемого поведения при нехватке товара, отказе платежа или повторной доставке запроса.</w:t>
      </w:r>
    </w:p>
    <w:p>
      <w:r>
        <w:t>В работе проведён анализ исходного процесса, определены границы интеграционного контура, функциональные и нефункциональные требования. Сравнены точечное соединение, центральный ESB и событийная интеграция. Для проектируемого сценария выбрана событийная архитектура с интеграционным сервисом-оркестратором, REST/JSON для приёма команды и брокером сообщений для распространения фактов о подтверждённом заказе. Такое разделение сохраняет быстрый ответ клиентскому приложению и уменьшает связанность последующих потребителей.</w:t>
      </w:r>
    </w:p>
    <w:p>
      <w:r>
        <w:t>Разработаны логическая модель компонентов, последовательность оформления заказа, JSON-схемы событий OrderCreated и OrderConfirmed, а также спецификация каналов AsyncAPI. Реализован демонстрационный сервер на Python и SQLite. Прототип поддерживает проверку остатков, атомарное резервирование товара, имитацию успешной и отклонённой оплаты, ключ идемпотентности, журнал outbox и идемпотентное обновление CRM-проекции.</w:t>
      </w:r>
    </w:p>
    <w:p>
      <w:r>
        <w:t>Проведена проверка четырёх сквозных случаев: успешное оформление, недостаток товара, отказ оплаты и повтор запроса. В стенде подтверждено сохранение остатка при отказе и отсутствие повторного списания при идемпотентном повторе. Эксплуатационные характеристики промышленной системы не заявляются, так как прототип работает в одном процессе и использует локальную базу.</w:t>
      </w:r>
    </w:p>
    <w:p>
      <w:r>
        <w:t>Ключевые слова: интеграция информационных систем, событийная архитектура, REST, JSON, брокер сообщений, идемпотентность, транзакционный outbox, SQLite, CRM.</w:t>
      </w:r>
    </w:p>
    <w:p>
      <w:r>
        <w:br w:type="page"/>
      </w:r>
    </w:p>
    <w:p>
      <w:pPr>
        <w:pStyle w:val="Heading1"/>
        <w:ind w:firstLine="0"/>
      </w:pPr>
      <w:r>
        <w:t>СОДЕРЖАНИЕ</w:t>
      </w:r>
    </w:p>
    <w:p>
      <w:pPr>
        <w:ind w:firstLine="0"/>
      </w:pPr>
      <w:fldSimple w:instr="TOC \o &quot;1-2&quot; \h \z \u">
        <w:r>
          <w:t>Для отображения содержания обновите поле в Microsoft Word.</w:t>
        </w:r>
      </w:fldSimple>
    </w:p>
    <w:p>
      <w:r>
        <w:br w:type="page"/>
      </w:r>
    </w:p>
    <w:p>
      <w:pPr>
        <w:pStyle w:val="Heading1"/>
        <w:ind w:firstLine="0"/>
      </w:pPr>
      <w:r>
        <w:t>ВВЕДЕНИЕ</w:t>
      </w:r>
    </w:p>
    <w:p>
      <w:r>
        <w:t>Предприятия часто используют отдельные приложения для оформления заказов, складского учёта, приёма платежей и работы с клиентами. Каждая система оптимизирована для своей функции, но сквозной процесс зависит от своевременной и корректной передачи данных между ними. Если витрина подтверждает покупку раньше, чем склад зарезервировал товар, клиент получает обещание, которое предприятие не может выполнить. Если платёж прошёл, а статус заказа не обновился, сотрудникам приходится сверять записи вручную.</w:t>
      </w:r>
    </w:p>
    <w:p>
      <w:r>
        <w:t>В качестве предметной области выбрана условная компания «ТехноДом», ведущая интернет-продажи товаров для дома. Учебная модель ограничена одним заказом, проверкой наличия по SKU, платёжной авторизацией и передачей подтверждённого заказа в CRM. Сценарий выбран потому, что он содержит синхронные проверки и асинхронное уведомление, а также допускает понятные исключения: неизвестный товар, недостаток остатка, отказ платежа, повторная доставка запроса.</w:t>
      </w:r>
    </w:p>
    <w:p>
      <w:r>
        <w:t>Цель курсового проекта — разработать архитектуру и прототип интеграционного решения, обеспечивающего согласованную обработку заказа между разнородными информационными системами. Для достижения цели анализируются текущий процесс и требования, сравниваются архитектурные варианты, проектируются компоненты и контракты, реализуется прототип, затем проверяется поведение в успешных и отказных сценариях.</w:t>
      </w:r>
    </w:p>
    <w:p>
      <w:r>
        <w:t>Практическая значимость работы состоит в том, что прототип воспроизводит ключевые правила целостности на локальной среде и может служить основой для демонстрации API и обсуждения будущих интерфейсов с владельцами систем. При этом в работе не моделируются реальные договорённости с банком, налоговые документы, логистика, возвраты и нормативная оценка обработки персональных данных.</w:t>
      </w:r>
    </w:p>
    <w:p>
      <w:r>
        <w:t>Методическую основу составляют анализ процесса, декомпозиция требований, сравнение шаблонов интеграции, моделирование сообщений и последовательности обмена, а также функциональная проверка исполняемого прототипа. Спецификация AsyncAPI используется для описания событийного интерфейса; JSON Schema — для фиксации структуры и ограничений полезной нагрузки.</w:t>
      </w:r>
    </w:p>
    <w:p>
      <w:r>
        <w:br w:type="page"/>
      </w:r>
    </w:p>
    <w:p>
      <w:pPr>
        <w:pStyle w:val="Heading1"/>
        <w:ind w:firstLine="0"/>
      </w:pPr>
      <w:r>
        <w:t>1 АНАЛИЗ ПРЕДМЕТНОЙ ОБЛАСТИ</w:t>
      </w:r>
    </w:p>
    <w:p>
      <w:pPr>
        <w:pStyle w:val="Heading2"/>
        <w:ind w:firstLine="0"/>
      </w:pPr>
      <w:r>
        <w:t>1.1 Организация и сквозной бизнес-процесс</w:t>
      </w:r>
    </w:p>
    <w:p>
      <w:r>
        <w:t>«ТехноДом» — условный интернет-магазин с каталогом товаров, корзиной и личным кабинетом. В анализируемом процессе участвуют четыре системы. Веб-витрина принимает команду покупателя; складская система владеет данными о физических остатках и резервировании; платёжный шлюз подтверждает или отклоняет списание; CRM хранит карточку клиента и историю контактов. Интеграционный слой связывает их, но не становится владельцем каталога, остатков или платежных реквизитов.</w:t>
      </w:r>
    </w:p>
    <w:p>
      <w:r>
        <w:t>Процесс начинается с передачи заказа, содержащего идентификатор клиента, список SKU и количество единиц. Склад должен проверить каждую позицию и временно зарезервировать нужное количество. Затем платёжная система обрабатывает сумму заказа. Только после положительного ответа оркестратор переводит заказ в подтверждённое состояние и публикует событие для CRM. При недостатке товара заказ не создаётся, а при отказе оплаты резерв снимается и заказ получает статус отмены.</w:t>
      </w:r>
    </w:p>
    <w:p>
      <w:r>
        <w:t>Для учебного сценария цена и остаток доступны интеграционному сервису через адаптер. В реальном внедрении цена должна иметь авторитетный источник, а правила фиксации цены и срока резерва следует согласовать с коммерческим подразделением. В прототипе перечень SKU и цена находятся в коде, поэтому это демонстрационный приём, а не рекомендуемая модель владения справочниками.</w:t>
      </w:r>
    </w:p>
    <w:tbl>
      <w:tblPr>
        <w:tblStyle w:val="TableGrid"/>
        <w:tblW w:type="auto" w:w="0"/>
        <w:jc w:val="center"/>
        <w:tblLook w:firstColumn="1" w:firstRow="1" w:lastColumn="0" w:lastRow="0" w:noHBand="0" w:noVBand="1" w:val="04A0"/>
      </w:tblPr>
      <w:tblGrid>
        <w:gridCol w:w="3230"/>
        <w:gridCol w:w="3230"/>
        <w:gridCol w:w="3230"/>
      </w:tblGrid>
      <w:tr>
        <w:tc>
          <w:tcPr>
            <w:tcW w:type="dxa" w:w="1757"/>
            <w:vAlign w:val="center"/>
            <w:shd w:fill="24476B"/>
          </w:tcPr>
          <w:p>
            <w:r>
              <w:rPr>
                <w:rFonts w:ascii="Times New Roman" w:hAnsi="Times New Roman"/>
                <w:b/>
                <w:color w:val="FFFFFF"/>
                <w:sz w:val="20"/>
              </w:rPr>
              <w:t>Участник</w:t>
            </w:r>
          </w:p>
        </w:tc>
        <w:tc>
          <w:tcPr>
            <w:tcW w:type="dxa" w:w="2948"/>
            <w:vAlign w:val="center"/>
            <w:shd w:fill="24476B"/>
          </w:tcPr>
          <w:p>
            <w:r>
              <w:rPr>
                <w:rFonts w:ascii="Times New Roman" w:hAnsi="Times New Roman"/>
                <w:b/>
                <w:color w:val="FFFFFF"/>
                <w:sz w:val="20"/>
              </w:rPr>
              <w:t>Владеет данными</w:t>
            </w:r>
          </w:p>
        </w:tc>
        <w:tc>
          <w:tcPr>
            <w:tcW w:type="dxa" w:w="3798"/>
            <w:vAlign w:val="center"/>
            <w:shd w:fill="24476B"/>
          </w:tcPr>
          <w:p>
            <w:r>
              <w:rPr>
                <w:rFonts w:ascii="Times New Roman" w:hAnsi="Times New Roman"/>
                <w:b/>
                <w:color w:val="FFFFFF"/>
                <w:sz w:val="20"/>
              </w:rPr>
              <w:t>Ожидает от обмена</w:t>
            </w:r>
          </w:p>
        </w:tc>
      </w:tr>
      <w:tr>
        <w:tc>
          <w:tcPr>
            <w:tcW w:type="dxa" w:w="1757"/>
            <w:vAlign w:val="center"/>
          </w:tcPr>
          <w:p>
            <w:pPr>
              <w:spacing w:line="240" w:lineRule="auto" w:after="40"/>
              <w:ind w:firstLine="0"/>
            </w:pPr>
            <w:r>
              <w:rPr>
                <w:rFonts w:ascii="Times New Roman" w:hAnsi="Times New Roman"/>
                <w:sz w:val="20"/>
              </w:rPr>
              <w:t>Веб-витрина</w:t>
            </w:r>
          </w:p>
        </w:tc>
        <w:tc>
          <w:tcPr>
            <w:tcW w:type="dxa" w:w="2948"/>
            <w:vAlign w:val="center"/>
          </w:tcPr>
          <w:p>
            <w:pPr>
              <w:spacing w:line="240" w:lineRule="auto" w:after="40"/>
              <w:ind w:firstLine="0"/>
            </w:pPr>
            <w:r>
              <w:rPr>
                <w:rFonts w:ascii="Times New Roman" w:hAnsi="Times New Roman"/>
                <w:sz w:val="20"/>
              </w:rPr>
              <w:t>Состав корзины до оформления</w:t>
            </w:r>
          </w:p>
        </w:tc>
        <w:tc>
          <w:tcPr>
            <w:tcW w:type="dxa" w:w="3798"/>
            <w:vAlign w:val="center"/>
          </w:tcPr>
          <w:p>
            <w:pPr>
              <w:spacing w:line="240" w:lineRule="auto" w:after="40"/>
              <w:ind w:firstLine="0"/>
            </w:pPr>
            <w:r>
              <w:rPr>
                <w:rFonts w:ascii="Times New Roman" w:hAnsi="Times New Roman"/>
                <w:sz w:val="20"/>
              </w:rPr>
              <w:t>Понятный ответ о принятии или отказе заказа</w:t>
            </w:r>
          </w:p>
        </w:tc>
      </w:tr>
      <w:tr>
        <w:tc>
          <w:tcPr>
            <w:tcW w:type="dxa" w:w="1757"/>
            <w:vAlign w:val="center"/>
          </w:tcPr>
          <w:p>
            <w:pPr>
              <w:spacing w:line="240" w:lineRule="auto" w:after="40"/>
              <w:ind w:firstLine="0"/>
            </w:pPr>
            <w:r>
              <w:rPr>
                <w:rFonts w:ascii="Times New Roman" w:hAnsi="Times New Roman"/>
                <w:sz w:val="20"/>
              </w:rPr>
              <w:t>Склад</w:t>
            </w:r>
          </w:p>
        </w:tc>
        <w:tc>
          <w:tcPr>
            <w:tcW w:type="dxa" w:w="2948"/>
            <w:vAlign w:val="center"/>
          </w:tcPr>
          <w:p>
            <w:pPr>
              <w:spacing w:line="240" w:lineRule="auto" w:after="40"/>
              <w:ind w:firstLine="0"/>
            </w:pPr>
            <w:r>
              <w:rPr>
                <w:rFonts w:ascii="Times New Roman" w:hAnsi="Times New Roman"/>
                <w:sz w:val="20"/>
              </w:rPr>
              <w:t>SKU, доступный остаток, резерв</w:t>
            </w:r>
          </w:p>
        </w:tc>
        <w:tc>
          <w:tcPr>
            <w:tcW w:type="dxa" w:w="3798"/>
            <w:vAlign w:val="center"/>
          </w:tcPr>
          <w:p>
            <w:pPr>
              <w:spacing w:line="240" w:lineRule="auto" w:after="40"/>
              <w:ind w:firstLine="0"/>
            </w:pPr>
            <w:r>
              <w:rPr>
                <w:rFonts w:ascii="Times New Roman" w:hAnsi="Times New Roman"/>
                <w:sz w:val="20"/>
              </w:rPr>
              <w:t>Корректная проверка и атомарное изменение остатка</w:t>
            </w:r>
          </w:p>
        </w:tc>
      </w:tr>
      <w:tr>
        <w:tc>
          <w:tcPr>
            <w:tcW w:type="dxa" w:w="1757"/>
            <w:vAlign w:val="center"/>
          </w:tcPr>
          <w:p>
            <w:pPr>
              <w:spacing w:line="240" w:lineRule="auto" w:after="40"/>
              <w:ind w:firstLine="0"/>
            </w:pPr>
            <w:r>
              <w:rPr>
                <w:rFonts w:ascii="Times New Roman" w:hAnsi="Times New Roman"/>
                <w:sz w:val="20"/>
              </w:rPr>
              <w:t>Платёжный шлюз</w:t>
            </w:r>
          </w:p>
        </w:tc>
        <w:tc>
          <w:tcPr>
            <w:tcW w:type="dxa" w:w="2948"/>
            <w:vAlign w:val="center"/>
          </w:tcPr>
          <w:p>
            <w:pPr>
              <w:spacing w:line="240" w:lineRule="auto" w:after="40"/>
              <w:ind w:firstLine="0"/>
            </w:pPr>
            <w:r>
              <w:rPr>
                <w:rFonts w:ascii="Times New Roman" w:hAnsi="Times New Roman"/>
                <w:sz w:val="20"/>
              </w:rPr>
              <w:t>Статус операции и внешний идентификатор</w:t>
            </w:r>
          </w:p>
        </w:tc>
        <w:tc>
          <w:tcPr>
            <w:tcW w:type="dxa" w:w="3798"/>
            <w:vAlign w:val="center"/>
          </w:tcPr>
          <w:p>
            <w:pPr>
              <w:spacing w:line="240" w:lineRule="auto" w:after="40"/>
              <w:ind w:firstLine="0"/>
            </w:pPr>
            <w:r>
              <w:rPr>
                <w:rFonts w:ascii="Times New Roman" w:hAnsi="Times New Roman"/>
                <w:sz w:val="20"/>
              </w:rPr>
              <w:t>Сумма, валюта, ссылка на заказ и ключ повтора</w:t>
            </w:r>
          </w:p>
        </w:tc>
      </w:tr>
      <w:tr>
        <w:tc>
          <w:tcPr>
            <w:tcW w:type="dxa" w:w="1757"/>
            <w:vAlign w:val="center"/>
          </w:tcPr>
          <w:p>
            <w:pPr>
              <w:spacing w:line="240" w:lineRule="auto" w:after="40"/>
              <w:ind w:firstLine="0"/>
            </w:pPr>
            <w:r>
              <w:rPr>
                <w:rFonts w:ascii="Times New Roman" w:hAnsi="Times New Roman"/>
                <w:sz w:val="20"/>
              </w:rPr>
              <w:t>CRM</w:t>
            </w:r>
          </w:p>
        </w:tc>
        <w:tc>
          <w:tcPr>
            <w:tcW w:type="dxa" w:w="2948"/>
            <w:vAlign w:val="center"/>
          </w:tcPr>
          <w:p>
            <w:pPr>
              <w:spacing w:line="240" w:lineRule="auto" w:after="40"/>
              <w:ind w:firstLine="0"/>
            </w:pPr>
            <w:r>
              <w:rPr>
                <w:rFonts w:ascii="Times New Roman" w:hAnsi="Times New Roman"/>
                <w:sz w:val="20"/>
              </w:rPr>
              <w:t>Профиль клиента и история заказов</w:t>
            </w:r>
          </w:p>
        </w:tc>
        <w:tc>
          <w:tcPr>
            <w:tcW w:type="dxa" w:w="3798"/>
            <w:vAlign w:val="center"/>
          </w:tcPr>
          <w:p>
            <w:pPr>
              <w:spacing w:line="240" w:lineRule="auto" w:after="40"/>
              <w:ind w:firstLine="0"/>
            </w:pPr>
            <w:r>
              <w:rPr>
                <w:rFonts w:ascii="Times New Roman" w:hAnsi="Times New Roman"/>
                <w:sz w:val="20"/>
              </w:rPr>
              <w:t>Событие подтверждения с идентификаторами и итоговой суммой</w:t>
            </w:r>
          </w:p>
        </w:tc>
      </w:tr>
      <w:tr>
        <w:tc>
          <w:tcPr>
            <w:tcW w:type="dxa" w:w="1757"/>
            <w:vAlign w:val="center"/>
          </w:tcPr>
          <w:p>
            <w:pPr>
              <w:spacing w:line="240" w:lineRule="auto" w:after="40"/>
              <w:ind w:firstLine="0"/>
            </w:pPr>
            <w:r>
              <w:rPr>
                <w:rFonts w:ascii="Times New Roman" w:hAnsi="Times New Roman"/>
                <w:sz w:val="20"/>
              </w:rPr>
              <w:t>Интеграционный слой</w:t>
            </w:r>
          </w:p>
        </w:tc>
        <w:tc>
          <w:tcPr>
            <w:tcW w:type="dxa" w:w="2948"/>
            <w:vAlign w:val="center"/>
          </w:tcPr>
          <w:p>
            <w:pPr>
              <w:spacing w:line="240" w:lineRule="auto" w:after="40"/>
              <w:ind w:firstLine="0"/>
            </w:pPr>
            <w:r>
              <w:rPr>
                <w:rFonts w:ascii="Times New Roman" w:hAnsi="Times New Roman"/>
                <w:sz w:val="20"/>
              </w:rPr>
              <w:t>Технический журнал обмена и корреляция</w:t>
            </w:r>
          </w:p>
        </w:tc>
        <w:tc>
          <w:tcPr>
            <w:tcW w:type="dxa" w:w="3798"/>
            <w:vAlign w:val="center"/>
          </w:tcPr>
          <w:p>
            <w:pPr>
              <w:spacing w:line="240" w:lineRule="auto" w:after="40"/>
              <w:ind w:firstLine="0"/>
            </w:pPr>
            <w:r>
              <w:rPr>
                <w:rFonts w:ascii="Times New Roman" w:hAnsi="Times New Roman"/>
                <w:sz w:val="20"/>
              </w:rPr>
              <w:t>Контрактный обмен без присвоения себе бизнес-данных</w:t>
            </w:r>
          </w:p>
        </w:tc>
      </w:tr>
    </w:tbl>
    <w:p>
      <w:pPr>
        <w:spacing w:after="40"/>
      </w:pPr>
    </w:p>
    <w:p>
      <w:r>
        <w:br w:type="page"/>
      </w:r>
    </w:p>
    <w:p>
      <w:pPr>
        <w:pStyle w:val="Heading2"/>
        <w:ind w:firstLine="0"/>
      </w:pPr>
      <w:r>
        <w:t>1.2 ТЕКУЩЕЕ СОСТОЯНИЕ И ПРОБЛЕМЫ ОБМЕНА</w:t>
      </w:r>
    </w:p>
    <w:p>
      <w:r>
        <w:t>В исходной учебной модели системы рассматриваются как раздельные приложения без единого согласованного протокола взаимодействия. Передача информации может происходить через файлы, ручной ввод или отдельные вызовы, созданные по мере появления потребности. Такой подход быстро помогает наладить первый обмен, однако при росте числа участников формируются множественные зависимости: любое изменение формата приходится согласовывать сразу с несколькими получателями.</w:t>
      </w:r>
    </w:p>
    <w:p>
      <w:r>
        <w:t>Основной риск связан с разрывом между операциями. Склад может уменьшить остаток, но ответ о резерве потеряется; платёж может пройти, но витрина останется в состоянии ожидания; CRM может получить повтор одного и того же уведомления. Без устойчивого идентификатора сообщения системы не отличат повтор доставки от нового заказа. Без журнала интеграции сложно установить, на каком шаге возник сбой и какое действие уже состоялось.</w:t>
      </w:r>
    </w:p>
    <w:p>
      <w:r>
        <w:t>Для новой архитектуры вводятся единые технические идентификаторы: orderId для заказа, eventId для события и Idempotency-Key для повторного HTTP-запроса. Сообщения получают версию схемы и временную метку. Текущие состояния заказа фиксируются в системе-источнике процесса, а факты о переходах публикуются потребителям. Такое разделение не устраняет сетевые сбои, но делает их видимыми и позволяет повторять безопасные операции.</w:t>
      </w:r>
    </w:p>
    <w:p>
      <w:r>
        <w:t>Не рассматриваются как установленный факт конкретные показатели потерь, количества заказов или времени обработки: исходная методичка таких данных не содержит. Поэтому эффект от проекта оценивается качественно, а любые числовые значения в презентации и записке обозначаются как условный расчёт для учебной иллюстрации, а не прогноз для организации.</w:t>
      </w:r>
    </w:p>
    <w:tbl>
      <w:tblPr>
        <w:tblStyle w:val="TableGrid"/>
        <w:tblW w:type="auto" w:w="0"/>
        <w:jc w:val="center"/>
        <w:tblLook w:firstColumn="1" w:firstRow="1" w:lastColumn="0" w:lastRow="0" w:noHBand="0" w:noVBand="1" w:val="04A0"/>
      </w:tblPr>
      <w:tblGrid>
        <w:gridCol w:w="3230"/>
        <w:gridCol w:w="3230"/>
        <w:gridCol w:w="3230"/>
      </w:tblGrid>
      <w:tr>
        <w:tc>
          <w:tcPr>
            <w:tcW w:type="dxa" w:w="2381"/>
            <w:vAlign w:val="center"/>
            <w:shd w:fill="24476B"/>
          </w:tcPr>
          <w:p>
            <w:r>
              <w:rPr>
                <w:rFonts w:ascii="Times New Roman" w:hAnsi="Times New Roman"/>
                <w:b/>
                <w:color w:val="FFFFFF"/>
                <w:sz w:val="20"/>
              </w:rPr>
              <w:t>Проблема</w:t>
            </w:r>
          </w:p>
        </w:tc>
        <w:tc>
          <w:tcPr>
            <w:tcW w:type="dxa" w:w="2665"/>
            <w:vAlign w:val="center"/>
            <w:shd w:fill="24476B"/>
          </w:tcPr>
          <w:p>
            <w:r>
              <w:rPr>
                <w:rFonts w:ascii="Times New Roman" w:hAnsi="Times New Roman"/>
                <w:b/>
                <w:color w:val="FFFFFF"/>
                <w:sz w:val="20"/>
              </w:rPr>
              <w:t>Последствие</w:t>
            </w:r>
          </w:p>
        </w:tc>
        <w:tc>
          <w:tcPr>
            <w:tcW w:type="dxa" w:w="3458"/>
            <w:vAlign w:val="center"/>
            <w:shd w:fill="24476B"/>
          </w:tcPr>
          <w:p>
            <w:r>
              <w:rPr>
                <w:rFonts w:ascii="Times New Roman" w:hAnsi="Times New Roman"/>
                <w:b/>
                <w:color w:val="FFFFFF"/>
                <w:sz w:val="20"/>
              </w:rPr>
              <w:t>Архитектурная мера</w:t>
            </w:r>
          </w:p>
        </w:tc>
      </w:tr>
      <w:tr>
        <w:tc>
          <w:tcPr>
            <w:tcW w:type="dxa" w:w="2381"/>
            <w:vAlign w:val="center"/>
          </w:tcPr>
          <w:p>
            <w:pPr>
              <w:spacing w:line="240" w:lineRule="auto" w:after="40"/>
              <w:ind w:firstLine="0"/>
            </w:pPr>
            <w:r>
              <w:rPr>
                <w:rFonts w:ascii="Times New Roman" w:hAnsi="Times New Roman"/>
                <w:sz w:val="20"/>
              </w:rPr>
              <w:t>Разные форматы идентификаторов</w:t>
            </w:r>
          </w:p>
        </w:tc>
        <w:tc>
          <w:tcPr>
            <w:tcW w:type="dxa" w:w="2665"/>
            <w:vAlign w:val="center"/>
          </w:tcPr>
          <w:p>
            <w:pPr>
              <w:spacing w:line="240" w:lineRule="auto" w:after="40"/>
              <w:ind w:firstLine="0"/>
            </w:pPr>
            <w:r>
              <w:rPr>
                <w:rFonts w:ascii="Times New Roman" w:hAnsi="Times New Roman"/>
                <w:sz w:val="20"/>
              </w:rPr>
              <w:t>Ручное сопоставление сущностей</w:t>
            </w:r>
          </w:p>
        </w:tc>
        <w:tc>
          <w:tcPr>
            <w:tcW w:type="dxa" w:w="3458"/>
            <w:vAlign w:val="center"/>
          </w:tcPr>
          <w:p>
            <w:pPr>
              <w:spacing w:line="240" w:lineRule="auto" w:after="40"/>
              <w:ind w:firstLine="0"/>
            </w:pPr>
            <w:r>
              <w:rPr>
                <w:rFonts w:ascii="Times New Roman" w:hAnsi="Times New Roman"/>
                <w:sz w:val="20"/>
              </w:rPr>
              <w:t>Канонический orderId и адаптеры преобразования</w:t>
            </w:r>
          </w:p>
        </w:tc>
      </w:tr>
      <w:tr>
        <w:tc>
          <w:tcPr>
            <w:tcW w:type="dxa" w:w="2381"/>
            <w:vAlign w:val="center"/>
          </w:tcPr>
          <w:p>
            <w:pPr>
              <w:spacing w:line="240" w:lineRule="auto" w:after="40"/>
              <w:ind w:firstLine="0"/>
            </w:pPr>
            <w:r>
              <w:rPr>
                <w:rFonts w:ascii="Times New Roman" w:hAnsi="Times New Roman"/>
                <w:sz w:val="20"/>
              </w:rPr>
              <w:t>Повтор запроса после тайм-аута</w:t>
            </w:r>
          </w:p>
        </w:tc>
        <w:tc>
          <w:tcPr>
            <w:tcW w:type="dxa" w:w="2665"/>
            <w:vAlign w:val="center"/>
          </w:tcPr>
          <w:p>
            <w:pPr>
              <w:spacing w:line="240" w:lineRule="auto" w:after="40"/>
              <w:ind w:firstLine="0"/>
            </w:pPr>
            <w:r>
              <w:rPr>
                <w:rFonts w:ascii="Times New Roman" w:hAnsi="Times New Roman"/>
                <w:sz w:val="20"/>
              </w:rPr>
              <w:t>Двойное создание заказа</w:t>
            </w:r>
          </w:p>
        </w:tc>
        <w:tc>
          <w:tcPr>
            <w:tcW w:type="dxa" w:w="3458"/>
            <w:vAlign w:val="center"/>
          </w:tcPr>
          <w:p>
            <w:pPr>
              <w:spacing w:line="240" w:lineRule="auto" w:after="40"/>
              <w:ind w:firstLine="0"/>
            </w:pPr>
            <w:r>
              <w:rPr>
                <w:rFonts w:ascii="Times New Roman" w:hAnsi="Times New Roman"/>
                <w:sz w:val="20"/>
              </w:rPr>
              <w:t>Idempotency-Key и ограничение UNIQUE</w:t>
            </w:r>
          </w:p>
        </w:tc>
      </w:tr>
      <w:tr>
        <w:tc>
          <w:tcPr>
            <w:tcW w:type="dxa" w:w="2381"/>
            <w:vAlign w:val="center"/>
          </w:tcPr>
          <w:p>
            <w:pPr>
              <w:spacing w:line="240" w:lineRule="auto" w:after="40"/>
              <w:ind w:firstLine="0"/>
            </w:pPr>
            <w:r>
              <w:rPr>
                <w:rFonts w:ascii="Times New Roman" w:hAnsi="Times New Roman"/>
                <w:sz w:val="20"/>
              </w:rPr>
              <w:t>Недостаток товара</w:t>
            </w:r>
          </w:p>
        </w:tc>
        <w:tc>
          <w:tcPr>
            <w:tcW w:type="dxa" w:w="2665"/>
            <w:vAlign w:val="center"/>
          </w:tcPr>
          <w:p>
            <w:pPr>
              <w:spacing w:line="240" w:lineRule="auto" w:after="40"/>
              <w:ind w:firstLine="0"/>
            </w:pPr>
            <w:r>
              <w:rPr>
                <w:rFonts w:ascii="Times New Roman" w:hAnsi="Times New Roman"/>
                <w:sz w:val="20"/>
              </w:rPr>
              <w:t>Невыполнимое обещание клиенту</w:t>
            </w:r>
          </w:p>
        </w:tc>
        <w:tc>
          <w:tcPr>
            <w:tcW w:type="dxa" w:w="3458"/>
            <w:vAlign w:val="center"/>
          </w:tcPr>
          <w:p>
            <w:pPr>
              <w:spacing w:line="240" w:lineRule="auto" w:after="40"/>
              <w:ind w:firstLine="0"/>
            </w:pPr>
            <w:r>
              <w:rPr>
                <w:rFonts w:ascii="Times New Roman" w:hAnsi="Times New Roman"/>
                <w:sz w:val="20"/>
              </w:rPr>
              <w:t>Проверка и резервирование до подтверждения</w:t>
            </w:r>
          </w:p>
        </w:tc>
      </w:tr>
      <w:tr>
        <w:tc>
          <w:tcPr>
            <w:tcW w:type="dxa" w:w="2381"/>
            <w:vAlign w:val="center"/>
          </w:tcPr>
          <w:p>
            <w:pPr>
              <w:spacing w:line="240" w:lineRule="auto" w:after="40"/>
              <w:ind w:firstLine="0"/>
            </w:pPr>
            <w:r>
              <w:rPr>
                <w:rFonts w:ascii="Times New Roman" w:hAnsi="Times New Roman"/>
                <w:sz w:val="20"/>
              </w:rPr>
              <w:t>Отказ оплаты</w:t>
            </w:r>
          </w:p>
        </w:tc>
        <w:tc>
          <w:tcPr>
            <w:tcW w:type="dxa" w:w="2665"/>
            <w:vAlign w:val="center"/>
          </w:tcPr>
          <w:p>
            <w:pPr>
              <w:spacing w:line="240" w:lineRule="auto" w:after="40"/>
              <w:ind w:firstLine="0"/>
            </w:pPr>
            <w:r>
              <w:rPr>
                <w:rFonts w:ascii="Times New Roman" w:hAnsi="Times New Roman"/>
                <w:sz w:val="20"/>
              </w:rPr>
              <w:t>Зависший резерв</w:t>
            </w:r>
          </w:p>
        </w:tc>
        <w:tc>
          <w:tcPr>
            <w:tcW w:type="dxa" w:w="3458"/>
            <w:vAlign w:val="center"/>
          </w:tcPr>
          <w:p>
            <w:pPr>
              <w:spacing w:line="240" w:lineRule="auto" w:after="40"/>
              <w:ind w:firstLine="0"/>
            </w:pPr>
            <w:r>
              <w:rPr>
                <w:rFonts w:ascii="Times New Roman" w:hAnsi="Times New Roman"/>
                <w:sz w:val="20"/>
              </w:rPr>
              <w:t>Явный статус declined и снятие резерва</w:t>
            </w:r>
          </w:p>
        </w:tc>
      </w:tr>
      <w:tr>
        <w:tc>
          <w:tcPr>
            <w:tcW w:type="dxa" w:w="2381"/>
            <w:vAlign w:val="center"/>
          </w:tcPr>
          <w:p>
            <w:pPr>
              <w:spacing w:line="240" w:lineRule="auto" w:after="40"/>
              <w:ind w:firstLine="0"/>
            </w:pPr>
            <w:r>
              <w:rPr>
                <w:rFonts w:ascii="Times New Roman" w:hAnsi="Times New Roman"/>
                <w:sz w:val="20"/>
              </w:rPr>
              <w:t>CRM временно недоступна</w:t>
            </w:r>
          </w:p>
        </w:tc>
        <w:tc>
          <w:tcPr>
            <w:tcW w:type="dxa" w:w="2665"/>
            <w:vAlign w:val="center"/>
          </w:tcPr>
          <w:p>
            <w:pPr>
              <w:spacing w:line="240" w:lineRule="auto" w:after="40"/>
              <w:ind w:firstLine="0"/>
            </w:pPr>
            <w:r>
              <w:rPr>
                <w:rFonts w:ascii="Times New Roman" w:hAnsi="Times New Roman"/>
                <w:sz w:val="20"/>
              </w:rPr>
              <w:t>Потеря уведомления или ручная сверка</w:t>
            </w:r>
          </w:p>
        </w:tc>
        <w:tc>
          <w:tcPr>
            <w:tcW w:type="dxa" w:w="3458"/>
            <w:vAlign w:val="center"/>
          </w:tcPr>
          <w:p>
            <w:pPr>
              <w:spacing w:line="240" w:lineRule="auto" w:after="40"/>
              <w:ind w:firstLine="0"/>
            </w:pPr>
            <w:r>
              <w:rPr>
                <w:rFonts w:ascii="Times New Roman" w:hAnsi="Times New Roman"/>
                <w:sz w:val="20"/>
              </w:rPr>
              <w:t>Outbox, повторы доставки, дедупликация потребителя</w:t>
            </w:r>
          </w:p>
        </w:tc>
      </w:tr>
    </w:tbl>
    <w:p>
      <w:pPr>
        <w:spacing w:after="40"/>
      </w:pPr>
    </w:p>
    <w:p>
      <w:r>
        <w:br w:type="page"/>
      </w:r>
    </w:p>
    <w:p>
      <w:pPr>
        <w:pStyle w:val="Heading2"/>
        <w:ind w:firstLine="0"/>
      </w:pPr>
      <w:r>
        <w:t>1.3 ТРЕБОВАНИЯ К ИНТЕГРАЦИИ</w:t>
      </w:r>
    </w:p>
    <w:p>
      <w:r>
        <w:t>Функциональные требования описывают наблюдаемое поведение контура. Сервис принимает только корректный заказ с клиентом и одной или несколькими позициями. До обращения к оплате он проверяет наличие всех SKU. При недостатке товара возвращает код OUT_OF_STOCK и не создаёт подтверждённый заказ. Успешное резервирование ведёт к платежу; положительный результат переводит заказ в confirmed и инициирует событие для CRM. Отрицательный результат переводит заказ в cancelled и возвращает зарезервированный остаток.</w:t>
      </w:r>
    </w:p>
    <w:p>
      <w:r>
        <w:t>Запрос должен быть идемпотентным в пределах срока хранения ключа: повтор с тем же ключом возвращает исходный результат, не списывая товар ещё раз. В ответе должны быть идентификатор заказа, статус, сумма и валюта. Ошибки возвращаются в единой JSON-структуре с машинным кодом, кратким сообщением и деталями, достаточными для диагностики, но без секретов и платёжных реквизитов.</w:t>
      </w:r>
    </w:p>
    <w:p>
      <w:r>
        <w:t>Нефункциональные требования задают свойства решения. Изменения заказа, резерва и платежного результата должны сохранять целостность. Неуспешная доставка события в CRM не должна удалять локально зафиксированный факт подтверждения. Повторная доставка события должна быть безопасной. API должен ограничивать размер тела запроса, использовать TLS и аутентификацию в реальном контуре. Журналирование должно обеспечивать корреляцию по идентификаторам, а метрики — показывать долю ошибок и возраст очереди.</w:t>
      </w:r>
    </w:p>
    <w:p>
      <w:r>
        <w:t>Для прототипа заданы функциональные критерии проверки, но отсутствуют эксплуатационные цели по доступности, пропускной способности и времени ответа. Эти значения нельзя достоверно вывести из учебного задания. В промышленном проекте их определяют по нагрузочному профилю, бизнес-окну и допустимым потерям при отказе, после чего подтверждают измерениями на целевой инфраструктуре.</w:t>
      </w:r>
    </w:p>
    <w:tbl>
      <w:tblPr>
        <w:tblStyle w:val="TableGrid"/>
        <w:tblW w:type="auto" w:w="0"/>
        <w:jc w:val="center"/>
        <w:tblLook w:firstColumn="1" w:firstRow="1" w:lastColumn="0" w:lastRow="0" w:noHBand="0" w:noVBand="1" w:val="04A0"/>
      </w:tblPr>
      <w:tblGrid>
        <w:gridCol w:w="3230"/>
        <w:gridCol w:w="3230"/>
        <w:gridCol w:w="3230"/>
      </w:tblGrid>
      <w:tr>
        <w:tc>
          <w:tcPr>
            <w:tcW w:type="dxa" w:w="1814"/>
            <w:vAlign w:val="center"/>
            <w:shd w:fill="24476B"/>
          </w:tcPr>
          <w:p>
            <w:r>
              <w:rPr>
                <w:rFonts w:ascii="Times New Roman" w:hAnsi="Times New Roman"/>
                <w:b/>
                <w:color w:val="FFFFFF"/>
                <w:sz w:val="20"/>
              </w:rPr>
              <w:t>Группа</w:t>
            </w:r>
          </w:p>
        </w:tc>
        <w:tc>
          <w:tcPr>
            <w:tcW w:type="dxa" w:w="3572"/>
            <w:vAlign w:val="center"/>
            <w:shd w:fill="24476B"/>
          </w:tcPr>
          <w:p>
            <w:r>
              <w:rPr>
                <w:rFonts w:ascii="Times New Roman" w:hAnsi="Times New Roman"/>
                <w:b/>
                <w:color w:val="FFFFFF"/>
                <w:sz w:val="20"/>
              </w:rPr>
              <w:t>Требование</w:t>
            </w:r>
          </w:p>
        </w:tc>
        <w:tc>
          <w:tcPr>
            <w:tcW w:type="dxa" w:w="3118"/>
            <w:vAlign w:val="center"/>
            <w:shd w:fill="24476B"/>
          </w:tcPr>
          <w:p>
            <w:r>
              <w:rPr>
                <w:rFonts w:ascii="Times New Roman" w:hAnsi="Times New Roman"/>
                <w:b/>
                <w:color w:val="FFFFFF"/>
                <w:sz w:val="20"/>
              </w:rPr>
              <w:t>Критерий прототипа</w:t>
            </w:r>
          </w:p>
        </w:tc>
      </w:tr>
      <w:tr>
        <w:tc>
          <w:tcPr>
            <w:tcW w:type="dxa" w:w="1814"/>
            <w:vAlign w:val="center"/>
          </w:tcPr>
          <w:p>
            <w:pPr>
              <w:spacing w:line="240" w:lineRule="auto" w:after="40"/>
              <w:ind w:firstLine="0"/>
            </w:pPr>
            <w:r>
              <w:rPr>
                <w:rFonts w:ascii="Times New Roman" w:hAnsi="Times New Roman"/>
                <w:sz w:val="20"/>
              </w:rPr>
              <w:t>Функциональное</w:t>
            </w:r>
          </w:p>
        </w:tc>
        <w:tc>
          <w:tcPr>
            <w:tcW w:type="dxa" w:w="3572"/>
            <w:vAlign w:val="center"/>
          </w:tcPr>
          <w:p>
            <w:pPr>
              <w:spacing w:line="240" w:lineRule="auto" w:after="40"/>
              <w:ind w:firstLine="0"/>
            </w:pPr>
            <w:r>
              <w:rPr>
                <w:rFonts w:ascii="Times New Roman" w:hAnsi="Times New Roman"/>
                <w:sz w:val="20"/>
              </w:rPr>
              <w:t>Проверка и резерв склада</w:t>
            </w:r>
          </w:p>
        </w:tc>
        <w:tc>
          <w:tcPr>
            <w:tcW w:type="dxa" w:w="3118"/>
            <w:vAlign w:val="center"/>
          </w:tcPr>
          <w:p>
            <w:pPr>
              <w:spacing w:line="240" w:lineRule="auto" w:after="40"/>
              <w:ind w:firstLine="0"/>
            </w:pPr>
            <w:r>
              <w:rPr>
                <w:rFonts w:ascii="Times New Roman" w:hAnsi="Times New Roman"/>
                <w:sz w:val="20"/>
              </w:rPr>
              <w:t>При превышении остатка заказ не создаётся</w:t>
            </w:r>
          </w:p>
        </w:tc>
      </w:tr>
      <w:tr>
        <w:tc>
          <w:tcPr>
            <w:tcW w:type="dxa" w:w="1814"/>
            <w:vAlign w:val="center"/>
          </w:tcPr>
          <w:p>
            <w:pPr>
              <w:spacing w:line="240" w:lineRule="auto" w:after="40"/>
              <w:ind w:firstLine="0"/>
            </w:pPr>
            <w:r>
              <w:rPr>
                <w:rFonts w:ascii="Times New Roman" w:hAnsi="Times New Roman"/>
                <w:sz w:val="20"/>
              </w:rPr>
              <w:t>Функциональное</w:t>
            </w:r>
          </w:p>
        </w:tc>
        <w:tc>
          <w:tcPr>
            <w:tcW w:type="dxa" w:w="3572"/>
            <w:vAlign w:val="center"/>
          </w:tcPr>
          <w:p>
            <w:pPr>
              <w:spacing w:line="240" w:lineRule="auto" w:after="40"/>
              <w:ind w:firstLine="0"/>
            </w:pPr>
            <w:r>
              <w:rPr>
                <w:rFonts w:ascii="Times New Roman" w:hAnsi="Times New Roman"/>
                <w:sz w:val="20"/>
              </w:rPr>
              <w:t>Реакция на платежный отказ</w:t>
            </w:r>
          </w:p>
        </w:tc>
        <w:tc>
          <w:tcPr>
            <w:tcW w:type="dxa" w:w="3118"/>
            <w:vAlign w:val="center"/>
          </w:tcPr>
          <w:p>
            <w:pPr>
              <w:spacing w:line="240" w:lineRule="auto" w:after="40"/>
              <w:ind w:firstLine="0"/>
            </w:pPr>
            <w:r>
              <w:rPr>
                <w:rFonts w:ascii="Times New Roman" w:hAnsi="Times New Roman"/>
                <w:sz w:val="20"/>
              </w:rPr>
              <w:t>Заказ отменён, остаток восстановлен</w:t>
            </w:r>
          </w:p>
        </w:tc>
      </w:tr>
      <w:tr>
        <w:tc>
          <w:tcPr>
            <w:tcW w:type="dxa" w:w="1814"/>
            <w:vAlign w:val="center"/>
          </w:tcPr>
          <w:p>
            <w:pPr>
              <w:spacing w:line="240" w:lineRule="auto" w:after="40"/>
              <w:ind w:firstLine="0"/>
            </w:pPr>
            <w:r>
              <w:rPr>
                <w:rFonts w:ascii="Times New Roman" w:hAnsi="Times New Roman"/>
                <w:sz w:val="20"/>
              </w:rPr>
              <w:t>Функциональное</w:t>
            </w:r>
          </w:p>
        </w:tc>
        <w:tc>
          <w:tcPr>
            <w:tcW w:type="dxa" w:w="3572"/>
            <w:vAlign w:val="center"/>
          </w:tcPr>
          <w:p>
            <w:pPr>
              <w:spacing w:line="240" w:lineRule="auto" w:after="40"/>
              <w:ind w:firstLine="0"/>
            </w:pPr>
            <w:r>
              <w:rPr>
                <w:rFonts w:ascii="Times New Roman" w:hAnsi="Times New Roman"/>
                <w:sz w:val="20"/>
              </w:rPr>
              <w:t>Дедупликация повтора</w:t>
            </w:r>
          </w:p>
        </w:tc>
        <w:tc>
          <w:tcPr>
            <w:tcW w:type="dxa" w:w="3118"/>
            <w:vAlign w:val="center"/>
          </w:tcPr>
          <w:p>
            <w:pPr>
              <w:spacing w:line="240" w:lineRule="auto" w:after="40"/>
              <w:ind w:firstLine="0"/>
            </w:pPr>
            <w:r>
              <w:rPr>
                <w:rFonts w:ascii="Times New Roman" w:hAnsi="Times New Roman"/>
                <w:sz w:val="20"/>
              </w:rPr>
              <w:t>Повтор с тем же ключом возвращает тот же orderId</w:t>
            </w:r>
          </w:p>
        </w:tc>
      </w:tr>
      <w:tr>
        <w:tc>
          <w:tcPr>
            <w:tcW w:type="dxa" w:w="1814"/>
            <w:vAlign w:val="center"/>
          </w:tcPr>
          <w:p>
            <w:pPr>
              <w:spacing w:line="240" w:lineRule="auto" w:after="40"/>
              <w:ind w:firstLine="0"/>
            </w:pPr>
            <w:r>
              <w:rPr>
                <w:rFonts w:ascii="Times New Roman" w:hAnsi="Times New Roman"/>
                <w:sz w:val="20"/>
              </w:rPr>
              <w:t>Надёжность</w:t>
            </w:r>
          </w:p>
        </w:tc>
        <w:tc>
          <w:tcPr>
            <w:tcW w:type="dxa" w:w="3572"/>
            <w:vAlign w:val="center"/>
          </w:tcPr>
          <w:p>
            <w:pPr>
              <w:spacing w:line="240" w:lineRule="auto" w:after="40"/>
              <w:ind w:firstLine="0"/>
            </w:pPr>
            <w:r>
              <w:rPr>
                <w:rFonts w:ascii="Times New Roman" w:hAnsi="Times New Roman"/>
                <w:sz w:val="20"/>
              </w:rPr>
              <w:t>Сохранение события для CRM</w:t>
            </w:r>
          </w:p>
        </w:tc>
        <w:tc>
          <w:tcPr>
            <w:tcW w:type="dxa" w:w="3118"/>
            <w:vAlign w:val="center"/>
          </w:tcPr>
          <w:p>
            <w:pPr>
              <w:spacing w:line="240" w:lineRule="auto" w:after="40"/>
              <w:ind w:firstLine="0"/>
            </w:pPr>
            <w:r>
              <w:rPr>
                <w:rFonts w:ascii="Times New Roman" w:hAnsi="Times New Roman"/>
                <w:sz w:val="20"/>
              </w:rPr>
              <w:t>Событие фиксируется вместе с подтверждением заказа</w:t>
            </w:r>
          </w:p>
        </w:tc>
      </w:tr>
      <w:tr>
        <w:tc>
          <w:tcPr>
            <w:tcW w:type="dxa" w:w="1814"/>
            <w:vAlign w:val="center"/>
          </w:tcPr>
          <w:p>
            <w:pPr>
              <w:spacing w:line="240" w:lineRule="auto" w:after="40"/>
              <w:ind w:firstLine="0"/>
            </w:pPr>
            <w:r>
              <w:rPr>
                <w:rFonts w:ascii="Times New Roman" w:hAnsi="Times New Roman"/>
                <w:sz w:val="20"/>
              </w:rPr>
              <w:t>Безопасность</w:t>
            </w:r>
          </w:p>
        </w:tc>
        <w:tc>
          <w:tcPr>
            <w:tcW w:type="dxa" w:w="3572"/>
            <w:vAlign w:val="center"/>
          </w:tcPr>
          <w:p>
            <w:pPr>
              <w:spacing w:line="240" w:lineRule="auto" w:after="40"/>
              <w:ind w:firstLine="0"/>
            </w:pPr>
            <w:r>
              <w:rPr>
                <w:rFonts w:ascii="Times New Roman" w:hAnsi="Times New Roman"/>
                <w:sz w:val="20"/>
              </w:rPr>
              <w:t>Защита транспорта и доступа</w:t>
            </w:r>
          </w:p>
        </w:tc>
        <w:tc>
          <w:tcPr>
            <w:tcW w:type="dxa" w:w="3118"/>
            <w:vAlign w:val="center"/>
          </w:tcPr>
          <w:p>
            <w:pPr>
              <w:spacing w:line="240" w:lineRule="auto" w:after="40"/>
              <w:ind w:firstLine="0"/>
            </w:pPr>
            <w:r>
              <w:rPr>
                <w:rFonts w:ascii="Times New Roman" w:hAnsi="Times New Roman"/>
                <w:sz w:val="20"/>
              </w:rPr>
              <w:t>В прототипе не реализована, требуется для внедрения</w:t>
            </w:r>
          </w:p>
        </w:tc>
      </w:tr>
      <w:tr>
        <w:tc>
          <w:tcPr>
            <w:tcW w:type="dxa" w:w="1814"/>
            <w:vAlign w:val="center"/>
          </w:tcPr>
          <w:p>
            <w:pPr>
              <w:spacing w:line="240" w:lineRule="auto" w:after="40"/>
              <w:ind w:firstLine="0"/>
            </w:pPr>
            <w:r>
              <w:rPr>
                <w:rFonts w:ascii="Times New Roman" w:hAnsi="Times New Roman"/>
                <w:sz w:val="20"/>
              </w:rPr>
              <w:t>Эксплуатация</w:t>
            </w:r>
          </w:p>
        </w:tc>
        <w:tc>
          <w:tcPr>
            <w:tcW w:type="dxa" w:w="3572"/>
            <w:vAlign w:val="center"/>
          </w:tcPr>
          <w:p>
            <w:pPr>
              <w:spacing w:line="240" w:lineRule="auto" w:after="40"/>
              <w:ind w:firstLine="0"/>
            </w:pPr>
            <w:r>
              <w:rPr>
                <w:rFonts w:ascii="Times New Roman" w:hAnsi="Times New Roman"/>
                <w:sz w:val="20"/>
              </w:rPr>
              <w:t>Наблюдаемость потока</w:t>
            </w:r>
          </w:p>
        </w:tc>
        <w:tc>
          <w:tcPr>
            <w:tcW w:type="dxa" w:w="3118"/>
            <w:vAlign w:val="center"/>
          </w:tcPr>
          <w:p>
            <w:pPr>
              <w:spacing w:line="240" w:lineRule="auto" w:after="40"/>
              <w:ind w:firstLine="0"/>
            </w:pPr>
            <w:r>
              <w:rPr>
                <w:rFonts w:ascii="Times New Roman" w:hAnsi="Times New Roman"/>
                <w:sz w:val="20"/>
              </w:rPr>
              <w:t>Идентификаторы и исход обработки доступны в БД/логе</w:t>
            </w:r>
          </w:p>
        </w:tc>
      </w:tr>
    </w:tbl>
    <w:p>
      <w:pPr>
        <w:spacing w:after="40"/>
      </w:pPr>
    </w:p>
    <w:p>
      <w:r>
        <w:br w:type="page"/>
      </w:r>
    </w:p>
    <w:p>
      <w:pPr>
        <w:pStyle w:val="Heading2"/>
        <w:ind w:firstLine="0"/>
      </w:pPr>
      <w:r>
        <w:t>1.4 СРАВНЕНИЕ ВАРИАНТОВ АРХИТЕКТУРЫ</w:t>
      </w:r>
    </w:p>
    <w:p>
      <w:r>
        <w:t>Точечная интеграция соединяет каждую пару систем отдельным интерфейсом. Она может быть оправдана для одного простого обмена, но число потенциальных связей растёт быстрее числа приложений. Каждый потребитель самостоятельно реализует преобразование форматов, повторы и обработку ошибок. Это усложняет контроль сквозной транзакции заказа и повышает цену изменения контракта.</w:t>
      </w:r>
    </w:p>
    <w:p>
      <w:r>
        <w:t>Централизованная ESB даёт единое место маршрутизации и трансформации. Она полезна при большом количестве корпоративных систем и сложных правилах сообщений, но требует отдельной платформы и компетенций. При неудачной декомпозиции бизнес-логика стекается в шину, а центральный слой становится узким местом изменений и отказа. Для учебного проекта масштаб ESB избыточен.</w:t>
      </w:r>
    </w:p>
    <w:p>
      <w:r>
        <w:t>Событийная интеграция публикует факты в брокер, а независимые потребители подписываются на нужные события. Она снижает связанность и позволяет повторно обрабатывать сообщение, но вводит eventual consistency, требования к идемпотентным обработчикам и инфраструктурный компонент. Сам заказ всё же нуждается в синхронном решении о наличии и платеже, поэтому выбран гибрид: REST-команда проходит через оркестратор, а подтверждённый факт распространяется событием.</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center"/>
            <w:shd w:fill="24476B"/>
          </w:tcPr>
          <w:p>
            <w:r>
              <w:rPr>
                <w:rFonts w:ascii="Times New Roman" w:hAnsi="Times New Roman"/>
                <w:b/>
                <w:color w:val="FFFFFF"/>
                <w:sz w:val="20"/>
              </w:rPr>
              <w:t>Критерий</w:t>
            </w:r>
          </w:p>
        </w:tc>
        <w:tc>
          <w:tcPr>
            <w:tcW w:type="dxa" w:w="2268"/>
            <w:vAlign w:val="center"/>
            <w:shd w:fill="24476B"/>
          </w:tcPr>
          <w:p>
            <w:r>
              <w:rPr>
                <w:rFonts w:ascii="Times New Roman" w:hAnsi="Times New Roman"/>
                <w:b/>
                <w:color w:val="FFFFFF"/>
                <w:sz w:val="20"/>
              </w:rPr>
              <w:t>Точка-точка</w:t>
            </w:r>
          </w:p>
        </w:tc>
        <w:tc>
          <w:tcPr>
            <w:tcW w:type="dxa" w:w="2268"/>
            <w:vAlign w:val="center"/>
            <w:shd w:fill="24476B"/>
          </w:tcPr>
          <w:p>
            <w:r>
              <w:rPr>
                <w:rFonts w:ascii="Times New Roman" w:hAnsi="Times New Roman"/>
                <w:b/>
                <w:color w:val="FFFFFF"/>
                <w:sz w:val="20"/>
              </w:rPr>
              <w:t>Центральная ESB</w:t>
            </w:r>
          </w:p>
        </w:tc>
        <w:tc>
          <w:tcPr>
            <w:tcW w:type="dxa" w:w="2268"/>
            <w:vAlign w:val="center"/>
            <w:shd w:fill="24476B"/>
          </w:tcPr>
          <w:p>
            <w:r>
              <w:rPr>
                <w:rFonts w:ascii="Times New Roman" w:hAnsi="Times New Roman"/>
                <w:b/>
                <w:color w:val="FFFFFF"/>
                <w:sz w:val="20"/>
              </w:rPr>
              <w:t>Событийная схема</w:t>
            </w:r>
          </w:p>
        </w:tc>
      </w:tr>
      <w:tr>
        <w:tc>
          <w:tcPr>
            <w:tcW w:type="dxa" w:w="1701"/>
            <w:vAlign w:val="center"/>
          </w:tcPr>
          <w:p>
            <w:pPr>
              <w:spacing w:line="240" w:lineRule="auto" w:after="40"/>
              <w:ind w:firstLine="0"/>
            </w:pPr>
            <w:r>
              <w:rPr>
                <w:rFonts w:ascii="Times New Roman" w:hAnsi="Times New Roman"/>
                <w:sz w:val="20"/>
              </w:rPr>
              <w:t>Связанность</w:t>
            </w:r>
          </w:p>
        </w:tc>
        <w:tc>
          <w:tcPr>
            <w:tcW w:type="dxa" w:w="2268"/>
            <w:vAlign w:val="center"/>
          </w:tcPr>
          <w:p>
            <w:pPr>
              <w:spacing w:line="240" w:lineRule="auto" w:after="40"/>
              <w:ind w:firstLine="0"/>
            </w:pPr>
            <w:r>
              <w:rPr>
                <w:rFonts w:ascii="Times New Roman" w:hAnsi="Times New Roman"/>
                <w:sz w:val="20"/>
              </w:rPr>
              <w:t>Высокая между парами</w:t>
            </w:r>
          </w:p>
        </w:tc>
        <w:tc>
          <w:tcPr>
            <w:tcW w:type="dxa" w:w="2268"/>
            <w:vAlign w:val="center"/>
          </w:tcPr>
          <w:p>
            <w:pPr>
              <w:spacing w:line="240" w:lineRule="auto" w:after="40"/>
              <w:ind w:firstLine="0"/>
            </w:pPr>
            <w:r>
              <w:rPr>
                <w:rFonts w:ascii="Times New Roman" w:hAnsi="Times New Roman"/>
                <w:sz w:val="20"/>
              </w:rPr>
              <w:t>Средняя, зависит от правил шины</w:t>
            </w:r>
          </w:p>
        </w:tc>
        <w:tc>
          <w:tcPr>
            <w:tcW w:type="dxa" w:w="2268"/>
            <w:vAlign w:val="center"/>
          </w:tcPr>
          <w:p>
            <w:pPr>
              <w:spacing w:line="240" w:lineRule="auto" w:after="40"/>
              <w:ind w:firstLine="0"/>
            </w:pPr>
            <w:r>
              <w:rPr>
                <w:rFonts w:ascii="Times New Roman" w:hAnsi="Times New Roman"/>
                <w:sz w:val="20"/>
              </w:rPr>
              <w:t>Ниже между издателем и потребителями</w:t>
            </w:r>
          </w:p>
        </w:tc>
      </w:tr>
      <w:tr>
        <w:tc>
          <w:tcPr>
            <w:tcW w:type="dxa" w:w="1701"/>
            <w:vAlign w:val="center"/>
          </w:tcPr>
          <w:p>
            <w:pPr>
              <w:spacing w:line="240" w:lineRule="auto" w:after="40"/>
              <w:ind w:firstLine="0"/>
            </w:pPr>
            <w:r>
              <w:rPr>
                <w:rFonts w:ascii="Times New Roman" w:hAnsi="Times New Roman"/>
                <w:sz w:val="20"/>
              </w:rPr>
              <w:t>Сложность старта</w:t>
            </w:r>
          </w:p>
        </w:tc>
        <w:tc>
          <w:tcPr>
            <w:tcW w:type="dxa" w:w="2268"/>
            <w:vAlign w:val="center"/>
          </w:tcPr>
          <w:p>
            <w:pPr>
              <w:spacing w:line="240" w:lineRule="auto" w:after="40"/>
              <w:ind w:firstLine="0"/>
            </w:pPr>
            <w:r>
              <w:rPr>
                <w:rFonts w:ascii="Times New Roman" w:hAnsi="Times New Roman"/>
                <w:sz w:val="20"/>
              </w:rPr>
              <w:t>Низкая для пары систем</w:t>
            </w:r>
          </w:p>
        </w:tc>
        <w:tc>
          <w:tcPr>
            <w:tcW w:type="dxa" w:w="2268"/>
            <w:vAlign w:val="center"/>
          </w:tcPr>
          <w:p>
            <w:pPr>
              <w:spacing w:line="240" w:lineRule="auto" w:after="40"/>
              <w:ind w:firstLine="0"/>
            </w:pPr>
            <w:r>
              <w:rPr>
                <w:rFonts w:ascii="Times New Roman" w:hAnsi="Times New Roman"/>
                <w:sz w:val="20"/>
              </w:rPr>
              <w:t>Высокая</w:t>
            </w:r>
          </w:p>
        </w:tc>
        <w:tc>
          <w:tcPr>
            <w:tcW w:type="dxa" w:w="2268"/>
            <w:vAlign w:val="center"/>
          </w:tcPr>
          <w:p>
            <w:pPr>
              <w:spacing w:line="240" w:lineRule="auto" w:after="40"/>
              <w:ind w:firstLine="0"/>
            </w:pPr>
            <w:r>
              <w:rPr>
                <w:rFonts w:ascii="Times New Roman" w:hAnsi="Times New Roman"/>
                <w:sz w:val="20"/>
              </w:rPr>
              <w:t>Средняя</w:t>
            </w:r>
          </w:p>
        </w:tc>
      </w:tr>
      <w:tr>
        <w:tc>
          <w:tcPr>
            <w:tcW w:type="dxa" w:w="1701"/>
            <w:vAlign w:val="center"/>
          </w:tcPr>
          <w:p>
            <w:pPr>
              <w:spacing w:line="240" w:lineRule="auto" w:after="40"/>
              <w:ind w:firstLine="0"/>
            </w:pPr>
            <w:r>
              <w:rPr>
                <w:rFonts w:ascii="Times New Roman" w:hAnsi="Times New Roman"/>
                <w:sz w:val="20"/>
              </w:rPr>
              <w:t>Обработка повтора</w:t>
            </w:r>
          </w:p>
        </w:tc>
        <w:tc>
          <w:tcPr>
            <w:tcW w:type="dxa" w:w="2268"/>
            <w:vAlign w:val="center"/>
          </w:tcPr>
          <w:p>
            <w:pPr>
              <w:spacing w:line="240" w:lineRule="auto" w:after="40"/>
              <w:ind w:firstLine="0"/>
            </w:pPr>
            <w:r>
              <w:rPr>
                <w:rFonts w:ascii="Times New Roman" w:hAnsi="Times New Roman"/>
                <w:sz w:val="20"/>
              </w:rPr>
              <w:t>Реализуется в каждой связи</w:t>
            </w:r>
          </w:p>
        </w:tc>
        <w:tc>
          <w:tcPr>
            <w:tcW w:type="dxa" w:w="2268"/>
            <w:vAlign w:val="center"/>
          </w:tcPr>
          <w:p>
            <w:pPr>
              <w:spacing w:line="240" w:lineRule="auto" w:after="40"/>
              <w:ind w:firstLine="0"/>
            </w:pPr>
            <w:r>
              <w:rPr>
                <w:rFonts w:ascii="Times New Roman" w:hAnsi="Times New Roman"/>
                <w:sz w:val="20"/>
              </w:rPr>
              <w:t>Может быть централизована</w:t>
            </w:r>
          </w:p>
        </w:tc>
        <w:tc>
          <w:tcPr>
            <w:tcW w:type="dxa" w:w="2268"/>
            <w:vAlign w:val="center"/>
          </w:tcPr>
          <w:p>
            <w:pPr>
              <w:spacing w:line="240" w:lineRule="auto" w:after="40"/>
              <w:ind w:firstLine="0"/>
            </w:pPr>
            <w:r>
              <w:rPr>
                <w:rFonts w:ascii="Times New Roman" w:hAnsi="Times New Roman"/>
                <w:sz w:val="20"/>
              </w:rPr>
              <w:t>Стандартный элемент консьюмера и брокера</w:t>
            </w:r>
          </w:p>
        </w:tc>
      </w:tr>
      <w:tr>
        <w:tc>
          <w:tcPr>
            <w:tcW w:type="dxa" w:w="1701"/>
            <w:vAlign w:val="center"/>
          </w:tcPr>
          <w:p>
            <w:pPr>
              <w:spacing w:line="240" w:lineRule="auto" w:after="40"/>
              <w:ind w:firstLine="0"/>
            </w:pPr>
            <w:r>
              <w:rPr>
                <w:rFonts w:ascii="Times New Roman" w:hAnsi="Times New Roman"/>
                <w:sz w:val="20"/>
              </w:rPr>
              <w:t>Подходит сценарию</w:t>
            </w:r>
          </w:p>
        </w:tc>
        <w:tc>
          <w:tcPr>
            <w:tcW w:type="dxa" w:w="2268"/>
            <w:vAlign w:val="center"/>
          </w:tcPr>
          <w:p>
            <w:pPr>
              <w:spacing w:line="240" w:lineRule="auto" w:after="40"/>
              <w:ind w:firstLine="0"/>
            </w:pPr>
            <w:r>
              <w:rPr>
                <w:rFonts w:ascii="Times New Roman" w:hAnsi="Times New Roman"/>
                <w:sz w:val="20"/>
              </w:rPr>
              <w:t>При малом числе устойчивых связей</w:t>
            </w:r>
          </w:p>
        </w:tc>
        <w:tc>
          <w:tcPr>
            <w:tcW w:type="dxa" w:w="2268"/>
            <w:vAlign w:val="center"/>
          </w:tcPr>
          <w:p>
            <w:pPr>
              <w:spacing w:line="240" w:lineRule="auto" w:after="40"/>
              <w:ind w:firstLine="0"/>
            </w:pPr>
            <w:r>
              <w:rPr>
                <w:rFonts w:ascii="Times New Roman" w:hAnsi="Times New Roman"/>
                <w:sz w:val="20"/>
              </w:rPr>
              <w:t>При большом наследуемом ландшафте</w:t>
            </w:r>
          </w:p>
        </w:tc>
        <w:tc>
          <w:tcPr>
            <w:tcW w:type="dxa" w:w="2268"/>
            <w:vAlign w:val="center"/>
          </w:tcPr>
          <w:p>
            <w:pPr>
              <w:spacing w:line="240" w:lineRule="auto" w:after="40"/>
              <w:ind w:firstLine="0"/>
            </w:pPr>
            <w:r>
              <w:rPr>
                <w:rFonts w:ascii="Times New Roman" w:hAnsi="Times New Roman"/>
                <w:sz w:val="20"/>
              </w:rPr>
              <w:t>Для событий заказа и роста потребителей</w:t>
            </w:r>
          </w:p>
        </w:tc>
      </w:tr>
      <w:tr>
        <w:tc>
          <w:tcPr>
            <w:tcW w:type="dxa" w:w="1701"/>
            <w:vAlign w:val="center"/>
          </w:tcPr>
          <w:p>
            <w:pPr>
              <w:spacing w:line="240" w:lineRule="auto" w:after="40"/>
              <w:ind w:firstLine="0"/>
            </w:pPr>
            <w:r>
              <w:rPr>
                <w:rFonts w:ascii="Times New Roman" w:hAnsi="Times New Roman"/>
                <w:sz w:val="20"/>
              </w:rPr>
              <w:t>Выбор проекта</w:t>
            </w:r>
          </w:p>
        </w:tc>
        <w:tc>
          <w:tcPr>
            <w:tcW w:type="dxa" w:w="2268"/>
            <w:vAlign w:val="center"/>
          </w:tcPr>
          <w:p>
            <w:pPr>
              <w:spacing w:line="240" w:lineRule="auto" w:after="40"/>
              <w:ind w:firstLine="0"/>
            </w:pPr>
            <w:r>
              <w:rPr>
                <w:rFonts w:ascii="Times New Roman" w:hAnsi="Times New Roman"/>
                <w:sz w:val="20"/>
              </w:rPr>
              <w:t>Не выбран</w:t>
            </w:r>
          </w:p>
        </w:tc>
        <w:tc>
          <w:tcPr>
            <w:tcW w:type="dxa" w:w="2268"/>
            <w:vAlign w:val="center"/>
          </w:tcPr>
          <w:p>
            <w:pPr>
              <w:spacing w:line="240" w:lineRule="auto" w:after="40"/>
              <w:ind w:firstLine="0"/>
            </w:pPr>
            <w:r>
              <w:rPr>
                <w:rFonts w:ascii="Times New Roman" w:hAnsi="Times New Roman"/>
                <w:sz w:val="20"/>
              </w:rPr>
              <w:t>Не выбран как платформа прототипа</w:t>
            </w:r>
          </w:p>
        </w:tc>
        <w:tc>
          <w:tcPr>
            <w:tcW w:type="dxa" w:w="2268"/>
            <w:vAlign w:val="center"/>
          </w:tcPr>
          <w:p>
            <w:pPr>
              <w:spacing w:line="240" w:lineRule="auto" w:after="40"/>
              <w:ind w:firstLine="0"/>
            </w:pPr>
            <w:r>
              <w:rPr>
                <w:rFonts w:ascii="Times New Roman" w:hAnsi="Times New Roman"/>
                <w:sz w:val="20"/>
              </w:rPr>
              <w:t>Выбран вместе с REST-оркестрацией</w:t>
            </w:r>
          </w:p>
        </w:tc>
      </w:tr>
    </w:tbl>
    <w:p>
      <w:pPr>
        <w:spacing w:after="40"/>
      </w:pPr>
    </w:p>
    <w:p>
      <w:r>
        <w:t>Для обзора программных аналогов рассмотрены брокеры и интеграционный фреймворк. Сопоставление основано на официальной документации поставщиков и показывает назначение продуктов, а не результаты сравнительного нагрузочного испытания.</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474"/>
            <w:vAlign w:val="center"/>
            <w:shd w:fill="24476B"/>
          </w:tcPr>
          <w:p>
            <w:r>
              <w:rPr>
                <w:rFonts w:ascii="Times New Roman" w:hAnsi="Times New Roman"/>
                <w:b/>
                <w:color w:val="FFFFFF"/>
                <w:sz w:val="20"/>
              </w:rPr>
              <w:t>Продукт</w:t>
            </w:r>
          </w:p>
        </w:tc>
        <w:tc>
          <w:tcPr>
            <w:tcW w:type="dxa" w:w="2778"/>
            <w:vAlign w:val="center"/>
            <w:shd w:fill="24476B"/>
          </w:tcPr>
          <w:p>
            <w:r>
              <w:rPr>
                <w:rFonts w:ascii="Times New Roman" w:hAnsi="Times New Roman"/>
                <w:b/>
                <w:color w:val="FFFFFF"/>
                <w:sz w:val="20"/>
              </w:rPr>
              <w:t>Основные возможности</w:t>
            </w:r>
          </w:p>
        </w:tc>
        <w:tc>
          <w:tcPr>
            <w:tcW w:type="dxa" w:w="2608"/>
            <w:vAlign w:val="center"/>
            <w:shd w:fill="24476B"/>
          </w:tcPr>
          <w:p>
            <w:r>
              <w:rPr>
                <w:rFonts w:ascii="Times New Roman" w:hAnsi="Times New Roman"/>
                <w:b/>
                <w:color w:val="FFFFFF"/>
                <w:sz w:val="20"/>
              </w:rPr>
              <w:t>Применимость к сценарию</w:t>
            </w:r>
          </w:p>
        </w:tc>
        <w:tc>
          <w:tcPr>
            <w:tcW w:type="dxa" w:w="2494"/>
            <w:vAlign w:val="center"/>
            <w:shd w:fill="24476B"/>
          </w:tcPr>
          <w:p>
            <w:r>
              <w:rPr>
                <w:rFonts w:ascii="Times New Roman" w:hAnsi="Times New Roman"/>
                <w:b/>
                <w:color w:val="FFFFFF"/>
                <w:sz w:val="20"/>
              </w:rPr>
              <w:t>Ограничение выбора</w:t>
            </w:r>
          </w:p>
        </w:tc>
      </w:tr>
      <w:tr>
        <w:tc>
          <w:tcPr>
            <w:tcW w:type="dxa" w:w="1474"/>
            <w:vAlign w:val="center"/>
          </w:tcPr>
          <w:p>
            <w:pPr>
              <w:spacing w:line="240" w:lineRule="auto" w:after="40"/>
              <w:ind w:firstLine="0"/>
            </w:pPr>
            <w:r>
              <w:rPr>
                <w:rFonts w:ascii="Times New Roman" w:hAnsi="Times New Roman"/>
                <w:sz w:val="20"/>
              </w:rPr>
              <w:t>RabbitMQ</w:t>
            </w:r>
          </w:p>
        </w:tc>
        <w:tc>
          <w:tcPr>
            <w:tcW w:type="dxa" w:w="2778"/>
            <w:vAlign w:val="center"/>
          </w:tcPr>
          <w:p>
            <w:pPr>
              <w:spacing w:line="240" w:lineRule="auto" w:after="40"/>
              <w:ind w:firstLine="0"/>
            </w:pPr>
            <w:r>
              <w:rPr>
                <w:rFonts w:ascii="Times New Roman" w:hAnsi="Times New Roman"/>
                <w:sz w:val="20"/>
              </w:rPr>
              <w:t>Маршрутизация очередей, подтверждения издателя и потребителя, повторная доставка и dead-letter exchange [10]</w:t>
            </w:r>
          </w:p>
        </w:tc>
        <w:tc>
          <w:tcPr>
            <w:tcW w:type="dxa" w:w="2608"/>
            <w:vAlign w:val="center"/>
          </w:tcPr>
          <w:p>
            <w:pPr>
              <w:spacing w:line="240" w:lineRule="auto" w:after="40"/>
              <w:ind w:firstLine="0"/>
            </w:pPr>
            <w:r>
              <w:rPr>
                <w:rFonts w:ascii="Times New Roman" w:hAnsi="Times New Roman"/>
                <w:sz w:val="20"/>
              </w:rPr>
              <w:t>Подходит для команд и событий заказа с контролируемой обработкой и сравнительно простой моделью очередей</w:t>
            </w:r>
          </w:p>
        </w:tc>
        <w:tc>
          <w:tcPr>
            <w:tcW w:type="dxa" w:w="2494"/>
            <w:vAlign w:val="center"/>
          </w:tcPr>
          <w:p>
            <w:pPr>
              <w:spacing w:line="240" w:lineRule="auto" w:after="40"/>
              <w:ind w:firstLine="0"/>
            </w:pPr>
            <w:r>
              <w:rPr>
                <w:rFonts w:ascii="Times New Roman" w:hAnsi="Times New Roman"/>
                <w:sz w:val="20"/>
              </w:rPr>
              <w:t>Требует эксплуатации брокера; дубли доставки ожидаемы и должны нейтрализоваться идемпотентным consumer</w:t>
            </w:r>
          </w:p>
        </w:tc>
      </w:tr>
      <w:tr>
        <w:tc>
          <w:tcPr>
            <w:tcW w:type="dxa" w:w="1474"/>
            <w:vAlign w:val="center"/>
          </w:tcPr>
          <w:p>
            <w:pPr>
              <w:spacing w:line="240" w:lineRule="auto" w:after="40"/>
              <w:ind w:firstLine="0"/>
            </w:pPr>
            <w:r>
              <w:rPr>
                <w:rFonts w:ascii="Times New Roman" w:hAnsi="Times New Roman"/>
                <w:sz w:val="20"/>
              </w:rPr>
              <w:t>Apache Kafka</w:t>
            </w:r>
          </w:p>
        </w:tc>
        <w:tc>
          <w:tcPr>
            <w:tcW w:type="dxa" w:w="2778"/>
            <w:vAlign w:val="center"/>
          </w:tcPr>
          <w:p>
            <w:pPr>
              <w:spacing w:line="240" w:lineRule="auto" w:after="40"/>
              <w:ind w:firstLine="0"/>
            </w:pPr>
            <w:r>
              <w:rPr>
                <w:rFonts w:ascii="Times New Roman" w:hAnsi="Times New Roman"/>
                <w:sz w:val="20"/>
              </w:rPr>
              <w:t>Распределённый журнал событий, топики и разделы, consumer groups, хранение и повторное чтение [11]</w:t>
            </w:r>
          </w:p>
        </w:tc>
        <w:tc>
          <w:tcPr>
            <w:tcW w:type="dxa" w:w="2608"/>
            <w:vAlign w:val="center"/>
          </w:tcPr>
          <w:p>
            <w:pPr>
              <w:spacing w:line="240" w:lineRule="auto" w:after="40"/>
              <w:ind w:firstLine="0"/>
            </w:pPr>
            <w:r>
              <w:rPr>
                <w:rFonts w:ascii="Times New Roman" w:hAnsi="Times New Roman"/>
                <w:sz w:val="20"/>
              </w:rPr>
              <w:t>Подходит, если появятся несколько потребителей, потоковая аналитика или потребность переигрывать историю событий</w:t>
            </w:r>
          </w:p>
        </w:tc>
        <w:tc>
          <w:tcPr>
            <w:tcW w:type="dxa" w:w="2494"/>
            <w:vAlign w:val="center"/>
          </w:tcPr>
          <w:p>
            <w:pPr>
              <w:spacing w:line="240" w:lineRule="auto" w:after="40"/>
              <w:ind w:firstLine="0"/>
            </w:pPr>
            <w:r>
              <w:rPr>
                <w:rFonts w:ascii="Times New Roman" w:hAnsi="Times New Roman"/>
                <w:sz w:val="20"/>
              </w:rPr>
              <w:t>Выше требования к проектированию топиков, ключей разделения, хранению и эксплуатации кластера</w:t>
            </w:r>
          </w:p>
        </w:tc>
      </w:tr>
      <w:tr>
        <w:tc>
          <w:tcPr>
            <w:tcW w:type="dxa" w:w="1474"/>
            <w:vAlign w:val="center"/>
          </w:tcPr>
          <w:p>
            <w:pPr>
              <w:spacing w:line="240" w:lineRule="auto" w:after="40"/>
              <w:ind w:firstLine="0"/>
            </w:pPr>
            <w:r>
              <w:rPr>
                <w:rFonts w:ascii="Times New Roman" w:hAnsi="Times New Roman"/>
                <w:sz w:val="20"/>
              </w:rPr>
              <w:t>Apache Camel</w:t>
            </w:r>
          </w:p>
        </w:tc>
        <w:tc>
          <w:tcPr>
            <w:tcW w:type="dxa" w:w="2778"/>
            <w:vAlign w:val="center"/>
          </w:tcPr>
          <w:p>
            <w:pPr>
              <w:spacing w:line="240" w:lineRule="auto" w:after="40"/>
              <w:ind w:firstLine="0"/>
            </w:pPr>
            <w:r>
              <w:rPr>
                <w:rFonts w:ascii="Times New Roman" w:hAnsi="Times New Roman"/>
                <w:sz w:val="20"/>
              </w:rPr>
              <w:t>Маршруты интеграции, Enterprise Integration Patterns и компоненты для соединения HTTP, JMS, файловых и других систем [12]</w:t>
            </w:r>
          </w:p>
        </w:tc>
        <w:tc>
          <w:tcPr>
            <w:tcW w:type="dxa" w:w="2608"/>
            <w:vAlign w:val="center"/>
          </w:tcPr>
          <w:p>
            <w:pPr>
              <w:spacing w:line="240" w:lineRule="auto" w:after="40"/>
              <w:ind w:firstLine="0"/>
            </w:pPr>
            <w:r>
              <w:rPr>
                <w:rFonts w:ascii="Times New Roman" w:hAnsi="Times New Roman"/>
                <w:sz w:val="20"/>
              </w:rPr>
              <w:t>Полезен как слой маршрутизации и преобразования при большом числе форматов и конечных систем</w:t>
            </w:r>
          </w:p>
        </w:tc>
        <w:tc>
          <w:tcPr>
            <w:tcW w:type="dxa" w:w="2494"/>
            <w:vAlign w:val="center"/>
          </w:tcPr>
          <w:p>
            <w:pPr>
              <w:spacing w:line="240" w:lineRule="auto" w:after="40"/>
              <w:ind w:firstLine="0"/>
            </w:pPr>
            <w:r>
              <w:rPr>
                <w:rFonts w:ascii="Times New Roman" w:hAnsi="Times New Roman"/>
                <w:sz w:val="20"/>
              </w:rPr>
              <w:t>Это интеграционный фреймворк, а не самостоятельная замена брокеру сообщений</w:t>
            </w:r>
          </w:p>
        </w:tc>
      </w:tr>
    </w:tbl>
    <w:p>
      <w:pPr>
        <w:spacing w:after="40"/>
      </w:pPr>
    </w:p>
    <w:p>
      <w:r>
        <w:t>Для пилота с умеренным числом событий заказа разумно оценивать RabbitMQ как первый кандидат: подтверждения помогают контролировать приём сообщений, а очереди и dead-letter exchange поддерживают разбор повторных отказов. Это предварительная рекомендация, а не утверждение о превосходстве продукта: объём заказов, доступные компетенции, требования к хранению и целевые показатели предприятия не заданы. Kafka следует рассматривать при подтверждённой потребности в длительном журнале событий и масштабном повторном чтении. Camel может использоваться вместе с брокером для адаптеров и маршрутизации. Учебный прототип не запускает ни один из этих продуктов.</w:t>
      </w:r>
    </w:p>
    <w:p>
      <w:r>
        <w:t>Для промышленного варианта логично использовать брокер сообщений с устойчивыми очередями и подтверждениями обработки. Конкретный продукт следует выбирать после оценки текущей инфраструктуры, требований к порядку событий, задержкам, управлению схемами, доступности сопровождения и лицензированию. В проекте брокер не запускается: SQLite-таблица outbox демонстрирует сохранение события, а локальный обработчик имитирует потребителя. Это сохраняет архитектурный смысл, но не доказывает свойства распределённой доставки.</w:t>
      </w:r>
    </w:p>
    <w:p>
      <w:r>
        <w:br w:type="page"/>
      </w:r>
    </w:p>
    <w:p>
      <w:pPr>
        <w:pStyle w:val="Heading1"/>
        <w:ind w:firstLine="0"/>
      </w:pPr>
      <w:r>
        <w:t>2 ПРОЕКТИРОВАНИЕ РЕШЕНИЯ</w:t>
      </w:r>
    </w:p>
    <w:p>
      <w:pPr>
        <w:pStyle w:val="Heading2"/>
        <w:ind w:firstLine="0"/>
      </w:pPr>
      <w:r>
        <w:t>2.1 Логическая архитектура и границы ответственности</w:t>
      </w:r>
    </w:p>
    <w:p>
      <w:r>
        <w:t>Архитектура состоит из клиентского приложения, API-шлюза, сервиса заказов, адаптера склада, адаптера оплаты, брокера событий и CRM-консьюмера. API-шлюз отвечает за входной транспорт, аутентификацию, ограничение частоты и размера запросов. Сервис заказов выполняет сценарий, сохраняет состояние и корреляционные идентификаторы. Адаптеры переводят внутреннюю модель в форматы конкретных систем и обратно.</w:t>
      </w:r>
    </w:p>
    <w:p>
      <w:r>
        <w:t>Брокер отделяет подтверждение заказа от последующей доставки события в CRM. Интеграционный слой публикует событие только после завершения критического шага оплаты. Потребитель CRM подтверждает обработку, фиксирует eventId в собственном журнале и обновляет карточку клиента. Для каждого сообщения применяются время жизни, политика повтора и очередь недоставленных сообщений. Технический мониторинг отслеживает рост очереди и повторные отказы.</w:t>
      </w:r>
    </w:p>
    <w:p>
      <w:r>
        <w:t>Система склада остаётся единственным владельцем фактического остатка. Оркестратор может запросить резерв, но не должен поддерживать независимый конкурирующий остаток. Платёжная система владеет статусом авторизации или списания, а CRM — данными взаимоотношений. Интеграционный слой хранит копию состояния, нужную для координации, но не подменяет источники истины.</w:t>
      </w:r>
    </w:p>
    <w:tbl>
      <w:tblPr>
        <w:tblStyle w:val="TableGrid"/>
        <w:tblW w:type="auto" w:w="0"/>
        <w:jc w:val="center"/>
        <w:tblLook w:firstColumn="1" w:firstRow="1" w:lastColumn="0" w:lastRow="0" w:noHBand="0" w:noVBand="1" w:val="04A0"/>
      </w:tblPr>
      <w:tblGrid>
        <w:gridCol w:w="3230"/>
        <w:gridCol w:w="3230"/>
        <w:gridCol w:w="3230"/>
      </w:tblGrid>
      <w:tr>
        <w:tc>
          <w:tcPr>
            <w:tcW w:type="dxa" w:w="1928"/>
            <w:vAlign w:val="center"/>
            <w:shd w:fill="24476B"/>
          </w:tcPr>
          <w:p>
            <w:r>
              <w:rPr>
                <w:rFonts w:ascii="Times New Roman" w:hAnsi="Times New Roman"/>
                <w:b/>
                <w:color w:val="FFFFFF"/>
                <w:sz w:val="20"/>
              </w:rPr>
              <w:t>Компонент</w:t>
            </w:r>
          </w:p>
        </w:tc>
        <w:tc>
          <w:tcPr>
            <w:tcW w:type="dxa" w:w="2948"/>
            <w:vAlign w:val="center"/>
            <w:shd w:fill="24476B"/>
          </w:tcPr>
          <w:p>
            <w:r>
              <w:rPr>
                <w:rFonts w:ascii="Times New Roman" w:hAnsi="Times New Roman"/>
                <w:b/>
                <w:color w:val="FFFFFF"/>
                <w:sz w:val="20"/>
              </w:rPr>
              <w:t>Вход</w:t>
            </w:r>
          </w:p>
        </w:tc>
        <w:tc>
          <w:tcPr>
            <w:tcW w:type="dxa" w:w="3515"/>
            <w:vAlign w:val="center"/>
            <w:shd w:fill="24476B"/>
          </w:tcPr>
          <w:p>
            <w:r>
              <w:rPr>
                <w:rFonts w:ascii="Times New Roman" w:hAnsi="Times New Roman"/>
                <w:b/>
                <w:color w:val="FFFFFF"/>
                <w:sz w:val="20"/>
              </w:rPr>
              <w:t>Выход / обязанность</w:t>
            </w:r>
          </w:p>
        </w:tc>
      </w:tr>
      <w:tr>
        <w:tc>
          <w:tcPr>
            <w:tcW w:type="dxa" w:w="1928"/>
            <w:vAlign w:val="center"/>
          </w:tcPr>
          <w:p>
            <w:pPr>
              <w:spacing w:line="240" w:lineRule="auto" w:after="40"/>
              <w:ind w:firstLine="0"/>
            </w:pPr>
            <w:r>
              <w:rPr>
                <w:rFonts w:ascii="Times New Roman" w:hAnsi="Times New Roman"/>
                <w:sz w:val="20"/>
              </w:rPr>
              <w:t>API-шлюз</w:t>
            </w:r>
          </w:p>
        </w:tc>
        <w:tc>
          <w:tcPr>
            <w:tcW w:type="dxa" w:w="2948"/>
            <w:vAlign w:val="center"/>
          </w:tcPr>
          <w:p>
            <w:pPr>
              <w:spacing w:line="240" w:lineRule="auto" w:after="40"/>
              <w:ind w:firstLine="0"/>
            </w:pPr>
            <w:r>
              <w:rPr>
                <w:rFonts w:ascii="Times New Roman" w:hAnsi="Times New Roman"/>
                <w:sz w:val="20"/>
              </w:rPr>
              <w:t>HTTPS-запрос и Idempotency-Key</w:t>
            </w:r>
          </w:p>
        </w:tc>
        <w:tc>
          <w:tcPr>
            <w:tcW w:type="dxa" w:w="3515"/>
            <w:vAlign w:val="center"/>
          </w:tcPr>
          <w:p>
            <w:pPr>
              <w:spacing w:line="240" w:lineRule="auto" w:after="40"/>
              <w:ind w:firstLine="0"/>
            </w:pPr>
            <w:r>
              <w:rPr>
                <w:rFonts w:ascii="Times New Roman" w:hAnsi="Times New Roman"/>
                <w:sz w:val="20"/>
              </w:rPr>
              <w:t>Проверка доступа, лимитов, маршрутизация</w:t>
            </w:r>
          </w:p>
        </w:tc>
      </w:tr>
      <w:tr>
        <w:tc>
          <w:tcPr>
            <w:tcW w:type="dxa" w:w="1928"/>
            <w:vAlign w:val="center"/>
          </w:tcPr>
          <w:p>
            <w:pPr>
              <w:spacing w:line="240" w:lineRule="auto" w:after="40"/>
              <w:ind w:firstLine="0"/>
            </w:pPr>
            <w:r>
              <w:rPr>
                <w:rFonts w:ascii="Times New Roman" w:hAnsi="Times New Roman"/>
                <w:sz w:val="20"/>
              </w:rPr>
              <w:t>Order Service</w:t>
            </w:r>
          </w:p>
        </w:tc>
        <w:tc>
          <w:tcPr>
            <w:tcW w:type="dxa" w:w="2948"/>
            <w:vAlign w:val="center"/>
          </w:tcPr>
          <w:p>
            <w:pPr>
              <w:spacing w:line="240" w:lineRule="auto" w:after="40"/>
              <w:ind w:firstLine="0"/>
            </w:pPr>
            <w:r>
              <w:rPr>
                <w:rFonts w:ascii="Times New Roman" w:hAnsi="Times New Roman"/>
                <w:sz w:val="20"/>
              </w:rPr>
              <w:t>Каноническая команда заказа</w:t>
            </w:r>
          </w:p>
        </w:tc>
        <w:tc>
          <w:tcPr>
            <w:tcW w:type="dxa" w:w="3515"/>
            <w:vAlign w:val="center"/>
          </w:tcPr>
          <w:p>
            <w:pPr>
              <w:spacing w:line="240" w:lineRule="auto" w:after="40"/>
              <w:ind w:firstLine="0"/>
            </w:pPr>
            <w:r>
              <w:rPr>
                <w:rFonts w:ascii="Times New Roman" w:hAnsi="Times New Roman"/>
                <w:sz w:val="20"/>
              </w:rPr>
              <w:t>Оркестрация и переходы статуса</w:t>
            </w:r>
          </w:p>
        </w:tc>
      </w:tr>
      <w:tr>
        <w:tc>
          <w:tcPr>
            <w:tcW w:type="dxa" w:w="1928"/>
            <w:vAlign w:val="center"/>
          </w:tcPr>
          <w:p>
            <w:pPr>
              <w:spacing w:line="240" w:lineRule="auto" w:after="40"/>
              <w:ind w:firstLine="0"/>
            </w:pPr>
            <w:r>
              <w:rPr>
                <w:rFonts w:ascii="Times New Roman" w:hAnsi="Times New Roman"/>
                <w:sz w:val="20"/>
              </w:rPr>
              <w:t>Warehouse Adapter</w:t>
            </w:r>
          </w:p>
        </w:tc>
        <w:tc>
          <w:tcPr>
            <w:tcW w:type="dxa" w:w="2948"/>
            <w:vAlign w:val="center"/>
          </w:tcPr>
          <w:p>
            <w:pPr>
              <w:spacing w:line="240" w:lineRule="auto" w:after="40"/>
              <w:ind w:firstLine="0"/>
            </w:pPr>
            <w:r>
              <w:rPr>
                <w:rFonts w:ascii="Times New Roman" w:hAnsi="Times New Roman"/>
                <w:sz w:val="20"/>
              </w:rPr>
              <w:t>Список SKU и количества</w:t>
            </w:r>
          </w:p>
        </w:tc>
        <w:tc>
          <w:tcPr>
            <w:tcW w:type="dxa" w:w="3515"/>
            <w:vAlign w:val="center"/>
          </w:tcPr>
          <w:p>
            <w:pPr>
              <w:spacing w:line="240" w:lineRule="auto" w:after="40"/>
              <w:ind w:firstLine="0"/>
            </w:pPr>
            <w:r>
              <w:rPr>
                <w:rFonts w:ascii="Times New Roman" w:hAnsi="Times New Roman"/>
                <w:sz w:val="20"/>
              </w:rPr>
              <w:t>Резерв или структурированный отказ</w:t>
            </w:r>
          </w:p>
        </w:tc>
      </w:tr>
      <w:tr>
        <w:tc>
          <w:tcPr>
            <w:tcW w:type="dxa" w:w="1928"/>
            <w:vAlign w:val="center"/>
          </w:tcPr>
          <w:p>
            <w:pPr>
              <w:spacing w:line="240" w:lineRule="auto" w:after="40"/>
              <w:ind w:firstLine="0"/>
            </w:pPr>
            <w:r>
              <w:rPr>
                <w:rFonts w:ascii="Times New Roman" w:hAnsi="Times New Roman"/>
                <w:sz w:val="20"/>
              </w:rPr>
              <w:t>Payment Adapter</w:t>
            </w:r>
          </w:p>
        </w:tc>
        <w:tc>
          <w:tcPr>
            <w:tcW w:type="dxa" w:w="2948"/>
            <w:vAlign w:val="center"/>
          </w:tcPr>
          <w:p>
            <w:pPr>
              <w:spacing w:line="240" w:lineRule="auto" w:after="40"/>
              <w:ind w:firstLine="0"/>
            </w:pPr>
            <w:r>
              <w:rPr>
                <w:rFonts w:ascii="Times New Roman" w:hAnsi="Times New Roman"/>
                <w:sz w:val="20"/>
              </w:rPr>
              <w:t>Сумма, валюта, orderId</w:t>
            </w:r>
          </w:p>
        </w:tc>
        <w:tc>
          <w:tcPr>
            <w:tcW w:type="dxa" w:w="3515"/>
            <w:vAlign w:val="center"/>
          </w:tcPr>
          <w:p>
            <w:pPr>
              <w:spacing w:line="240" w:lineRule="auto" w:after="40"/>
              <w:ind w:firstLine="0"/>
            </w:pPr>
            <w:r>
              <w:rPr>
                <w:rFonts w:ascii="Times New Roman" w:hAnsi="Times New Roman"/>
                <w:sz w:val="20"/>
              </w:rPr>
              <w:t>Результат платежа и providerRef</w:t>
            </w:r>
          </w:p>
        </w:tc>
      </w:tr>
      <w:tr>
        <w:tc>
          <w:tcPr>
            <w:tcW w:type="dxa" w:w="1928"/>
            <w:vAlign w:val="center"/>
          </w:tcPr>
          <w:p>
            <w:pPr>
              <w:spacing w:line="240" w:lineRule="auto" w:after="40"/>
              <w:ind w:firstLine="0"/>
            </w:pPr>
            <w:r>
              <w:rPr>
                <w:rFonts w:ascii="Times New Roman" w:hAnsi="Times New Roman"/>
                <w:sz w:val="20"/>
              </w:rPr>
              <w:t>Outbox Publisher</w:t>
            </w:r>
          </w:p>
        </w:tc>
        <w:tc>
          <w:tcPr>
            <w:tcW w:type="dxa" w:w="2948"/>
            <w:vAlign w:val="center"/>
          </w:tcPr>
          <w:p>
            <w:pPr>
              <w:spacing w:line="240" w:lineRule="auto" w:after="40"/>
              <w:ind w:firstLine="0"/>
            </w:pPr>
            <w:r>
              <w:rPr>
                <w:rFonts w:ascii="Times New Roman" w:hAnsi="Times New Roman"/>
                <w:sz w:val="20"/>
              </w:rPr>
              <w:t>Непубликованные записи</w:t>
            </w:r>
          </w:p>
        </w:tc>
        <w:tc>
          <w:tcPr>
            <w:tcW w:type="dxa" w:w="3515"/>
            <w:vAlign w:val="center"/>
          </w:tcPr>
          <w:p>
            <w:pPr>
              <w:spacing w:line="240" w:lineRule="auto" w:after="40"/>
              <w:ind w:firstLine="0"/>
            </w:pPr>
            <w:r>
              <w:rPr>
                <w:rFonts w:ascii="Times New Roman" w:hAnsi="Times New Roman"/>
                <w:sz w:val="20"/>
              </w:rPr>
              <w:t>Публикация OrderConfirmed</w:t>
            </w:r>
          </w:p>
        </w:tc>
      </w:tr>
      <w:tr>
        <w:tc>
          <w:tcPr>
            <w:tcW w:type="dxa" w:w="1928"/>
            <w:vAlign w:val="center"/>
          </w:tcPr>
          <w:p>
            <w:pPr>
              <w:spacing w:line="240" w:lineRule="auto" w:after="40"/>
              <w:ind w:firstLine="0"/>
            </w:pPr>
            <w:r>
              <w:rPr>
                <w:rFonts w:ascii="Times New Roman" w:hAnsi="Times New Roman"/>
                <w:sz w:val="20"/>
              </w:rPr>
              <w:t>CRM Consumer</w:t>
            </w:r>
          </w:p>
        </w:tc>
        <w:tc>
          <w:tcPr>
            <w:tcW w:type="dxa" w:w="2948"/>
            <w:vAlign w:val="center"/>
          </w:tcPr>
          <w:p>
            <w:pPr>
              <w:spacing w:line="240" w:lineRule="auto" w:after="40"/>
              <w:ind w:firstLine="0"/>
            </w:pPr>
            <w:r>
              <w:rPr>
                <w:rFonts w:ascii="Times New Roman" w:hAnsi="Times New Roman"/>
                <w:sz w:val="20"/>
              </w:rPr>
              <w:t>OrderConfirmed</w:t>
            </w:r>
          </w:p>
        </w:tc>
        <w:tc>
          <w:tcPr>
            <w:tcW w:type="dxa" w:w="3515"/>
            <w:vAlign w:val="center"/>
          </w:tcPr>
          <w:p>
            <w:pPr>
              <w:spacing w:line="240" w:lineRule="auto" w:after="40"/>
              <w:ind w:firstLine="0"/>
            </w:pPr>
            <w:r>
              <w:rPr>
                <w:rFonts w:ascii="Times New Roman" w:hAnsi="Times New Roman"/>
                <w:sz w:val="20"/>
              </w:rPr>
              <w:t>Дедупликация и обновление карточки</w:t>
            </w:r>
          </w:p>
        </w:tc>
      </w:tr>
    </w:tbl>
    <w:p>
      <w:pPr>
        <w:spacing w:after="40"/>
      </w:pPr>
    </w:p>
    <w:p>
      <w:r>
        <w:t>Логический поток: Веб-витрина → API-шлюз → Order Service → адаптер склада → адаптер оплаты. После успешной оплаты Order Service фиксирует заказ и outbox-событие в одной локальной транзакции. Publisher → брокер → CRM-консьюмер завершает асинхронную часть. В случае реальных систем граница транзакции не распространяется на внешние компоненты; согласованность достигается компенсационными действиями и повторяемыми командами.</w:t>
      </w:r>
    </w:p>
    <w:p>
      <w:pPr>
        <w:ind w:firstLine="0"/>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slide-04.png"/>
                    <pic:cNvPicPr/>
                  </pic:nvPicPr>
                  <pic:blipFill>
                    <a:blip r:embed="rId10"/>
                    <a:stretch>
                      <a:fillRect/>
                    </a:stretch>
                  </pic:blipFill>
                  <pic:spPr>
                    <a:xfrm>
                      <a:off x="0" y="0"/>
                      <a:ext cx="5760000" cy="3240000"/>
                    </a:xfrm>
                    <a:prstGeom prst="rect"/>
                  </pic:spPr>
                </pic:pic>
              </a:graphicData>
            </a:graphic>
          </wp:inline>
        </w:drawing>
      </w:r>
    </w:p>
    <w:p>
      <w:pPr>
        <w:ind w:firstLine="0"/>
        <w:jc w:val="center"/>
      </w:pPr>
      <w:r>
        <w:t>Рисунок 1 — Логическая архитектура интеграционного решения</w:t>
      </w:r>
    </w:p>
    <w:p>
      <w:r>
        <w:br w:type="page"/>
      </w:r>
    </w:p>
    <w:p>
      <w:pPr>
        <w:pStyle w:val="Heading2"/>
        <w:ind w:firstLine="0"/>
      </w:pPr>
      <w:r>
        <w:t>2.2 КОНТРАКТЫ И МОДЕЛЬ ДАННЫХ</w:t>
      </w:r>
    </w:p>
    <w:p>
      <w:r>
        <w:t>Внешний синхронный контракт принимает JSON. Поля customerId и items обязательны; каждая позиция содержит SKU и положительное целое количество. Денежные значения передаются как целые копейки, чтобы избежать ошибок двоичной арифметики с плавающей точкой. API формирует orderId, присваивает статус и возвращает его вызывающей системе. Повтор запроса идентифицируется заголовком Idempotency-Key, который в промышленном варианте должен иметь согласованный срок хранения.</w:t>
      </w:r>
    </w:p>
    <w:p>
      <w:r>
        <w:t>Событие OrderCreated отражает факт регистрации входного заказа и содержит eventId, eventType, occurredAt, orderId, customerId, currency, totalMinor и массив позиций. OrderConfirmed публикуется после успешной оплаты и содержит ссылку на заказ, клиента, итоговую сумму и валюту. Платёжные реквизиты и персональные данные не включаются. Контракт представлен JSON Schema, а связь события с каналом зафиксирована в AsyncAPI 3.0.0.</w:t>
      </w:r>
    </w:p>
    <w:p>
      <w:r>
        <w:t>Для эволюции схемы новые необязательные поля можно добавлять при условии, что старые потребители их игнорируют. Удаление обязательного поля или изменение его смысла считается несовместимым и требует новой версии контракта либо периода совместной поддержки. Перед публикацией изменения проверяется совместимость с зарегистрированными схемами и тестовыми сообщениями. Каждое событие несёт уникальный eventId, используемый потребителем для дедупликации.</w:t>
      </w:r>
    </w:p>
    <w:tbl>
      <w:tblPr>
        <w:tblStyle w:val="TableGrid"/>
        <w:tblW w:type="auto" w:w="0"/>
        <w:jc w:val="center"/>
        <w:tblLook w:firstColumn="1" w:firstRow="1" w:lastColumn="0" w:lastRow="0" w:noHBand="0" w:noVBand="1" w:val="04A0"/>
      </w:tblPr>
      <w:tblGrid>
        <w:gridCol w:w="3230"/>
        <w:gridCol w:w="3230"/>
        <w:gridCol w:w="3230"/>
      </w:tblGrid>
      <w:tr>
        <w:tc>
          <w:tcPr>
            <w:tcW w:type="dxa" w:w="1701"/>
            <w:vAlign w:val="center"/>
            <w:shd w:fill="24476B"/>
          </w:tcPr>
          <w:p>
            <w:r>
              <w:rPr>
                <w:rFonts w:ascii="Times New Roman" w:hAnsi="Times New Roman"/>
                <w:b/>
                <w:color w:val="FFFFFF"/>
                <w:sz w:val="20"/>
              </w:rPr>
              <w:t>Поле</w:t>
            </w:r>
          </w:p>
        </w:tc>
        <w:tc>
          <w:tcPr>
            <w:tcW w:type="dxa" w:w="2835"/>
            <w:vAlign w:val="center"/>
            <w:shd w:fill="24476B"/>
          </w:tcPr>
          <w:p>
            <w:r>
              <w:rPr>
                <w:rFonts w:ascii="Times New Roman" w:hAnsi="Times New Roman"/>
                <w:b/>
                <w:color w:val="FFFFFF"/>
                <w:sz w:val="20"/>
              </w:rPr>
              <w:t>Тип / ограничение</w:t>
            </w:r>
          </w:p>
        </w:tc>
        <w:tc>
          <w:tcPr>
            <w:tcW w:type="dxa" w:w="3969"/>
            <w:vAlign w:val="center"/>
            <w:shd w:fill="24476B"/>
          </w:tcPr>
          <w:p>
            <w:r>
              <w:rPr>
                <w:rFonts w:ascii="Times New Roman" w:hAnsi="Times New Roman"/>
                <w:b/>
                <w:color w:val="FFFFFF"/>
                <w:sz w:val="20"/>
              </w:rPr>
              <w:t>Назначение</w:t>
            </w:r>
          </w:p>
        </w:tc>
      </w:tr>
      <w:tr>
        <w:tc>
          <w:tcPr>
            <w:tcW w:type="dxa" w:w="1701"/>
            <w:vAlign w:val="center"/>
          </w:tcPr>
          <w:p>
            <w:pPr>
              <w:spacing w:line="240" w:lineRule="auto" w:after="40"/>
              <w:ind w:firstLine="0"/>
            </w:pPr>
            <w:r>
              <w:rPr>
                <w:rFonts w:ascii="Times New Roman" w:hAnsi="Times New Roman"/>
                <w:sz w:val="20"/>
              </w:rPr>
              <w:t>eventId</w:t>
            </w:r>
          </w:p>
        </w:tc>
        <w:tc>
          <w:tcPr>
            <w:tcW w:type="dxa" w:w="2835"/>
            <w:vAlign w:val="center"/>
          </w:tcPr>
          <w:p>
            <w:pPr>
              <w:spacing w:line="240" w:lineRule="auto" w:after="40"/>
              <w:ind w:firstLine="0"/>
            </w:pPr>
            <w:r>
              <w:rPr>
                <w:rFonts w:ascii="Times New Roman" w:hAnsi="Times New Roman"/>
                <w:sz w:val="20"/>
              </w:rPr>
              <w:t>UUID</w:t>
            </w:r>
          </w:p>
        </w:tc>
        <w:tc>
          <w:tcPr>
            <w:tcW w:type="dxa" w:w="3969"/>
            <w:vAlign w:val="center"/>
          </w:tcPr>
          <w:p>
            <w:pPr>
              <w:spacing w:line="240" w:lineRule="auto" w:after="40"/>
              <w:ind w:firstLine="0"/>
            </w:pPr>
            <w:r>
              <w:rPr>
                <w:rFonts w:ascii="Times New Roman" w:hAnsi="Times New Roman"/>
                <w:sz w:val="20"/>
              </w:rPr>
              <w:t>Уникальная доставка для дедупликации</w:t>
            </w:r>
          </w:p>
        </w:tc>
      </w:tr>
      <w:tr>
        <w:tc>
          <w:tcPr>
            <w:tcW w:type="dxa" w:w="1701"/>
            <w:vAlign w:val="center"/>
          </w:tcPr>
          <w:p>
            <w:pPr>
              <w:spacing w:line="240" w:lineRule="auto" w:after="40"/>
              <w:ind w:firstLine="0"/>
            </w:pPr>
            <w:r>
              <w:rPr>
                <w:rFonts w:ascii="Times New Roman" w:hAnsi="Times New Roman"/>
                <w:sz w:val="20"/>
              </w:rPr>
              <w:t>eventType</w:t>
            </w:r>
          </w:p>
        </w:tc>
        <w:tc>
          <w:tcPr>
            <w:tcW w:type="dxa" w:w="2835"/>
            <w:vAlign w:val="center"/>
          </w:tcPr>
          <w:p>
            <w:pPr>
              <w:spacing w:line="240" w:lineRule="auto" w:after="40"/>
              <w:ind w:firstLine="0"/>
            </w:pPr>
            <w:r>
              <w:rPr>
                <w:rFonts w:ascii="Times New Roman" w:hAnsi="Times New Roman"/>
                <w:sz w:val="20"/>
              </w:rPr>
              <w:t>Строковый литерал</w:t>
            </w:r>
          </w:p>
        </w:tc>
        <w:tc>
          <w:tcPr>
            <w:tcW w:type="dxa" w:w="3969"/>
            <w:vAlign w:val="center"/>
          </w:tcPr>
          <w:p>
            <w:pPr>
              <w:spacing w:line="240" w:lineRule="auto" w:after="40"/>
              <w:ind w:firstLine="0"/>
            </w:pPr>
            <w:r>
              <w:rPr>
                <w:rFonts w:ascii="Times New Roman" w:hAnsi="Times New Roman"/>
                <w:sz w:val="20"/>
              </w:rPr>
              <w:t>Определяет схему события</w:t>
            </w:r>
          </w:p>
        </w:tc>
      </w:tr>
      <w:tr>
        <w:tc>
          <w:tcPr>
            <w:tcW w:type="dxa" w:w="1701"/>
            <w:vAlign w:val="center"/>
          </w:tcPr>
          <w:p>
            <w:pPr>
              <w:spacing w:line="240" w:lineRule="auto" w:after="40"/>
              <w:ind w:firstLine="0"/>
            </w:pPr>
            <w:r>
              <w:rPr>
                <w:rFonts w:ascii="Times New Roman" w:hAnsi="Times New Roman"/>
                <w:sz w:val="20"/>
              </w:rPr>
              <w:t>occurredAt</w:t>
            </w:r>
          </w:p>
        </w:tc>
        <w:tc>
          <w:tcPr>
            <w:tcW w:type="dxa" w:w="2835"/>
            <w:vAlign w:val="center"/>
          </w:tcPr>
          <w:p>
            <w:pPr>
              <w:spacing w:line="240" w:lineRule="auto" w:after="40"/>
              <w:ind w:firstLine="0"/>
            </w:pPr>
            <w:r>
              <w:rPr>
                <w:rFonts w:ascii="Times New Roman" w:hAnsi="Times New Roman"/>
                <w:sz w:val="20"/>
              </w:rPr>
              <w:t>ISO 8601 date-time</w:t>
            </w:r>
          </w:p>
        </w:tc>
        <w:tc>
          <w:tcPr>
            <w:tcW w:type="dxa" w:w="3969"/>
            <w:vAlign w:val="center"/>
          </w:tcPr>
          <w:p>
            <w:pPr>
              <w:spacing w:line="240" w:lineRule="auto" w:after="40"/>
              <w:ind w:firstLine="0"/>
            </w:pPr>
            <w:r>
              <w:rPr>
                <w:rFonts w:ascii="Times New Roman" w:hAnsi="Times New Roman"/>
                <w:sz w:val="20"/>
              </w:rPr>
              <w:t>Время возникновения факта в UTC</w:t>
            </w:r>
          </w:p>
        </w:tc>
      </w:tr>
      <w:tr>
        <w:tc>
          <w:tcPr>
            <w:tcW w:type="dxa" w:w="1701"/>
            <w:vAlign w:val="center"/>
          </w:tcPr>
          <w:p>
            <w:pPr>
              <w:spacing w:line="240" w:lineRule="auto" w:after="40"/>
              <w:ind w:firstLine="0"/>
            </w:pPr>
            <w:r>
              <w:rPr>
                <w:rFonts w:ascii="Times New Roman" w:hAnsi="Times New Roman"/>
                <w:sz w:val="20"/>
              </w:rPr>
              <w:t>orderId</w:t>
            </w:r>
          </w:p>
        </w:tc>
        <w:tc>
          <w:tcPr>
            <w:tcW w:type="dxa" w:w="2835"/>
            <w:vAlign w:val="center"/>
          </w:tcPr>
          <w:p>
            <w:pPr>
              <w:spacing w:line="240" w:lineRule="auto" w:after="40"/>
              <w:ind w:firstLine="0"/>
            </w:pPr>
            <w:r>
              <w:rPr>
                <w:rFonts w:ascii="Times New Roman" w:hAnsi="Times New Roman"/>
                <w:sz w:val="20"/>
              </w:rPr>
              <w:t>UUID</w:t>
            </w:r>
          </w:p>
        </w:tc>
        <w:tc>
          <w:tcPr>
            <w:tcW w:type="dxa" w:w="3969"/>
            <w:vAlign w:val="center"/>
          </w:tcPr>
          <w:p>
            <w:pPr>
              <w:spacing w:line="240" w:lineRule="auto" w:after="40"/>
              <w:ind w:firstLine="0"/>
            </w:pPr>
            <w:r>
              <w:rPr>
                <w:rFonts w:ascii="Times New Roman" w:hAnsi="Times New Roman"/>
                <w:sz w:val="20"/>
              </w:rPr>
              <w:t>Связь с агрегатом заказа</w:t>
            </w:r>
          </w:p>
        </w:tc>
      </w:tr>
      <w:tr>
        <w:tc>
          <w:tcPr>
            <w:tcW w:type="dxa" w:w="1701"/>
            <w:vAlign w:val="center"/>
          </w:tcPr>
          <w:p>
            <w:pPr>
              <w:spacing w:line="240" w:lineRule="auto" w:after="40"/>
              <w:ind w:firstLine="0"/>
            </w:pPr>
            <w:r>
              <w:rPr>
                <w:rFonts w:ascii="Times New Roman" w:hAnsi="Times New Roman"/>
                <w:sz w:val="20"/>
              </w:rPr>
              <w:t>customerId</w:t>
            </w:r>
          </w:p>
        </w:tc>
        <w:tc>
          <w:tcPr>
            <w:tcW w:type="dxa" w:w="2835"/>
            <w:vAlign w:val="center"/>
          </w:tcPr>
          <w:p>
            <w:pPr>
              <w:spacing w:line="240" w:lineRule="auto" w:after="40"/>
              <w:ind w:firstLine="0"/>
            </w:pPr>
            <w:r>
              <w:rPr>
                <w:rFonts w:ascii="Times New Roman" w:hAnsi="Times New Roman"/>
                <w:sz w:val="20"/>
              </w:rPr>
              <w:t>Непустая строка</w:t>
            </w:r>
          </w:p>
        </w:tc>
        <w:tc>
          <w:tcPr>
            <w:tcW w:type="dxa" w:w="3969"/>
            <w:vAlign w:val="center"/>
          </w:tcPr>
          <w:p>
            <w:pPr>
              <w:spacing w:line="240" w:lineRule="auto" w:after="40"/>
              <w:ind w:firstLine="0"/>
            </w:pPr>
            <w:r>
              <w:rPr>
                <w:rFonts w:ascii="Times New Roman" w:hAnsi="Times New Roman"/>
                <w:sz w:val="20"/>
              </w:rPr>
              <w:t>Ссылка на клиента без избыточных персональных данных</w:t>
            </w:r>
          </w:p>
        </w:tc>
      </w:tr>
      <w:tr>
        <w:tc>
          <w:tcPr>
            <w:tcW w:type="dxa" w:w="1701"/>
            <w:vAlign w:val="center"/>
          </w:tcPr>
          <w:p>
            <w:pPr>
              <w:spacing w:line="240" w:lineRule="auto" w:after="40"/>
              <w:ind w:firstLine="0"/>
            </w:pPr>
            <w:r>
              <w:rPr>
                <w:rFonts w:ascii="Times New Roman" w:hAnsi="Times New Roman"/>
                <w:sz w:val="20"/>
              </w:rPr>
              <w:t>totalMinor</w:t>
            </w:r>
          </w:p>
        </w:tc>
        <w:tc>
          <w:tcPr>
            <w:tcW w:type="dxa" w:w="2835"/>
            <w:vAlign w:val="center"/>
          </w:tcPr>
          <w:p>
            <w:pPr>
              <w:spacing w:line="240" w:lineRule="auto" w:after="40"/>
              <w:ind w:firstLine="0"/>
            </w:pPr>
            <w:r>
              <w:rPr>
                <w:rFonts w:ascii="Times New Roman" w:hAnsi="Times New Roman"/>
                <w:sz w:val="20"/>
              </w:rPr>
              <w:t>Целое число</w:t>
            </w:r>
          </w:p>
        </w:tc>
        <w:tc>
          <w:tcPr>
            <w:tcW w:type="dxa" w:w="3969"/>
            <w:vAlign w:val="center"/>
          </w:tcPr>
          <w:p>
            <w:pPr>
              <w:spacing w:line="240" w:lineRule="auto" w:after="40"/>
              <w:ind w:firstLine="0"/>
            </w:pPr>
            <w:r>
              <w:rPr>
                <w:rFonts w:ascii="Times New Roman" w:hAnsi="Times New Roman"/>
                <w:sz w:val="20"/>
              </w:rPr>
              <w:t>Сумма в копейках</w:t>
            </w:r>
          </w:p>
        </w:tc>
      </w:tr>
      <w:tr>
        <w:tc>
          <w:tcPr>
            <w:tcW w:type="dxa" w:w="1701"/>
            <w:vAlign w:val="center"/>
          </w:tcPr>
          <w:p>
            <w:pPr>
              <w:spacing w:line="240" w:lineRule="auto" w:after="40"/>
              <w:ind w:firstLine="0"/>
            </w:pPr>
            <w:r>
              <w:rPr>
                <w:rFonts w:ascii="Times New Roman" w:hAnsi="Times New Roman"/>
                <w:sz w:val="20"/>
              </w:rPr>
              <w:t>currency</w:t>
            </w:r>
          </w:p>
        </w:tc>
        <w:tc>
          <w:tcPr>
            <w:tcW w:type="dxa" w:w="2835"/>
            <w:vAlign w:val="center"/>
          </w:tcPr>
          <w:p>
            <w:pPr>
              <w:spacing w:line="240" w:lineRule="auto" w:after="40"/>
              <w:ind w:firstLine="0"/>
            </w:pPr>
            <w:r>
              <w:rPr>
                <w:rFonts w:ascii="Times New Roman" w:hAnsi="Times New Roman"/>
                <w:sz w:val="20"/>
              </w:rPr>
              <w:t>Код валюты</w:t>
            </w:r>
          </w:p>
        </w:tc>
        <w:tc>
          <w:tcPr>
            <w:tcW w:type="dxa" w:w="3969"/>
            <w:vAlign w:val="center"/>
          </w:tcPr>
          <w:p>
            <w:pPr>
              <w:spacing w:line="240" w:lineRule="auto" w:after="40"/>
              <w:ind w:firstLine="0"/>
            </w:pPr>
            <w:r>
              <w:rPr>
                <w:rFonts w:ascii="Times New Roman" w:hAnsi="Times New Roman"/>
                <w:sz w:val="20"/>
              </w:rPr>
              <w:t>В прототипе зафиксирован RUB</w:t>
            </w:r>
          </w:p>
        </w:tc>
      </w:tr>
      <w:tr>
        <w:tc>
          <w:tcPr>
            <w:tcW w:type="dxa" w:w="1701"/>
            <w:vAlign w:val="center"/>
          </w:tcPr>
          <w:p>
            <w:pPr>
              <w:spacing w:line="240" w:lineRule="auto" w:after="40"/>
              <w:ind w:firstLine="0"/>
            </w:pPr>
            <w:r>
              <w:rPr>
                <w:rFonts w:ascii="Times New Roman" w:hAnsi="Times New Roman"/>
                <w:sz w:val="20"/>
              </w:rPr>
              <w:t>items</w:t>
            </w:r>
          </w:p>
        </w:tc>
        <w:tc>
          <w:tcPr>
            <w:tcW w:type="dxa" w:w="2835"/>
            <w:vAlign w:val="center"/>
          </w:tcPr>
          <w:p>
            <w:pPr>
              <w:spacing w:line="240" w:lineRule="auto" w:after="40"/>
              <w:ind w:firstLine="0"/>
            </w:pPr>
            <w:r>
              <w:rPr>
                <w:rFonts w:ascii="Times New Roman" w:hAnsi="Times New Roman"/>
                <w:sz w:val="20"/>
              </w:rPr>
              <w:t>Массив позиций</w:t>
            </w:r>
          </w:p>
        </w:tc>
        <w:tc>
          <w:tcPr>
            <w:tcW w:type="dxa" w:w="3969"/>
            <w:vAlign w:val="center"/>
          </w:tcPr>
          <w:p>
            <w:pPr>
              <w:spacing w:line="240" w:lineRule="auto" w:after="40"/>
              <w:ind w:firstLine="0"/>
            </w:pPr>
            <w:r>
              <w:rPr>
                <w:rFonts w:ascii="Times New Roman" w:hAnsi="Times New Roman"/>
                <w:sz w:val="20"/>
              </w:rPr>
              <w:t>SKU, количество и цена в минимальных денежных единицах</w:t>
            </w:r>
          </w:p>
        </w:tc>
      </w:tr>
    </w:tbl>
    <w:p>
      <w:pPr>
        <w:spacing w:after="40"/>
      </w:pPr>
    </w:p>
    <w:p>
      <w:r>
        <w:br w:type="page"/>
      </w:r>
    </w:p>
    <w:p>
      <w:pPr>
        <w:pStyle w:val="Heading2"/>
        <w:ind w:firstLine="0"/>
      </w:pPr>
      <w:r>
        <w:t>2.3 СЦЕНАРИЙ ОБМЕНА СООБЩЕНИЯМИ</w:t>
      </w:r>
    </w:p>
    <w:p>
      <w:r>
        <w:t>Успешный сквозной сценарий начинается с команды POST /orders и ключа идемпотентности. API проверяет синтаксис JSON и обязательные поля. Оркестратор ищет сохранённый результат по ключу. Если результат существует, сервис возвращает его без повторного резервирования и оплаты. Для нового ключа сервис проверяет доступность каждого артикула, затем в транзакции уменьшает доступные остатки и создаёт заказ в состоянии awaiting_payment.</w:t>
      </w:r>
    </w:p>
    <w:p>
      <w:r>
        <w:t>Далее адаптер оплаты отправляет сумму в копейках, код валюты, orderId и идемпотентный идентификатор платежа. При подтверждении интеграционный сервис переводит заказ в confirmed, сохраняет платёжный результат и помещает OrderConfirmed в outbox. После фиксации транзакции издатель передаёт сообщение в брокер, CRM потребляет событие и сохраняет обработанный eventId. При временном сбое сообщение повторно доставляется; при исчерпании политики повтора оно перемещается в отдельную очередь для разбора.</w:t>
      </w:r>
    </w:p>
    <w:p>
      <w:r>
        <w:t>В учебном прототипе локальный обработчик CRM вызывается сразу после фиксации, поэтому задержка доставки не видна пользователю. В промышленном развертывании потребитель работает независимо. Клиентский ответ сообщает о результате критической части процесса, тогда как обновление CRM может завершиться позже. Эта задержка допустима только при согласованном бизнес-правиле и наличии наблюдаемого статуса интеграции.</w:t>
      </w:r>
    </w:p>
    <w:tbl>
      <w:tblPr>
        <w:tblStyle w:val="TableGrid"/>
        <w:tblW w:type="auto" w:w="0"/>
        <w:jc w:val="center"/>
        <w:tblLook w:firstColumn="1" w:firstRow="1" w:lastColumn="0" w:lastRow="0" w:noHBand="0" w:noVBand="1" w:val="04A0"/>
      </w:tblPr>
      <w:tblGrid>
        <w:gridCol w:w="3230"/>
        <w:gridCol w:w="3230"/>
        <w:gridCol w:w="3230"/>
      </w:tblGrid>
      <w:tr>
        <w:tc>
          <w:tcPr>
            <w:tcW w:type="dxa" w:w="794"/>
            <w:vAlign w:val="center"/>
            <w:shd w:fill="24476B"/>
          </w:tcPr>
          <w:p>
            <w:r>
              <w:rPr>
                <w:rFonts w:ascii="Times New Roman" w:hAnsi="Times New Roman"/>
                <w:b/>
                <w:color w:val="FFFFFF"/>
                <w:sz w:val="20"/>
              </w:rPr>
              <w:t>Шаг</w:t>
            </w:r>
          </w:p>
        </w:tc>
        <w:tc>
          <w:tcPr>
            <w:tcW w:type="dxa" w:w="2608"/>
            <w:vAlign w:val="center"/>
            <w:shd w:fill="24476B"/>
          </w:tcPr>
          <w:p>
            <w:r>
              <w:rPr>
                <w:rFonts w:ascii="Times New Roman" w:hAnsi="Times New Roman"/>
                <w:b/>
                <w:color w:val="FFFFFF"/>
                <w:sz w:val="20"/>
              </w:rPr>
              <w:t>Отправитель → получатель</w:t>
            </w:r>
          </w:p>
        </w:tc>
        <w:tc>
          <w:tcPr>
            <w:tcW w:type="dxa" w:w="5102"/>
            <w:vAlign w:val="center"/>
            <w:shd w:fill="24476B"/>
          </w:tcPr>
          <w:p>
            <w:r>
              <w:rPr>
                <w:rFonts w:ascii="Times New Roman" w:hAnsi="Times New Roman"/>
                <w:b/>
                <w:color w:val="FFFFFF"/>
                <w:sz w:val="20"/>
              </w:rPr>
              <w:t>Действие / результат</w:t>
            </w:r>
          </w:p>
        </w:tc>
      </w:tr>
      <w:tr>
        <w:tc>
          <w:tcPr>
            <w:tcW w:type="dxa" w:w="794"/>
            <w:vAlign w:val="center"/>
          </w:tcPr>
          <w:p>
            <w:pPr>
              <w:spacing w:line="240" w:lineRule="auto" w:after="40"/>
              <w:ind w:firstLine="0"/>
            </w:pPr>
            <w:r>
              <w:rPr>
                <w:rFonts w:ascii="Times New Roman" w:hAnsi="Times New Roman"/>
                <w:sz w:val="20"/>
              </w:rPr>
              <w:t>1</w:t>
            </w:r>
          </w:p>
        </w:tc>
        <w:tc>
          <w:tcPr>
            <w:tcW w:type="dxa" w:w="2608"/>
            <w:vAlign w:val="center"/>
          </w:tcPr>
          <w:p>
            <w:pPr>
              <w:spacing w:line="240" w:lineRule="auto" w:after="40"/>
              <w:ind w:firstLine="0"/>
            </w:pPr>
            <w:r>
              <w:rPr>
                <w:rFonts w:ascii="Times New Roman" w:hAnsi="Times New Roman"/>
                <w:sz w:val="20"/>
              </w:rPr>
              <w:t>Витрина → API</w:t>
            </w:r>
          </w:p>
        </w:tc>
        <w:tc>
          <w:tcPr>
            <w:tcW w:type="dxa" w:w="5102"/>
            <w:vAlign w:val="center"/>
          </w:tcPr>
          <w:p>
            <w:pPr>
              <w:spacing w:line="240" w:lineRule="auto" w:after="40"/>
              <w:ind w:firstLine="0"/>
            </w:pPr>
            <w:r>
              <w:rPr>
                <w:rFonts w:ascii="Times New Roman" w:hAnsi="Times New Roman"/>
                <w:sz w:val="20"/>
              </w:rPr>
              <w:t>POST /orders, JSON, ключ идемпотентности</w:t>
            </w:r>
          </w:p>
        </w:tc>
      </w:tr>
      <w:tr>
        <w:tc>
          <w:tcPr>
            <w:tcW w:type="dxa" w:w="794"/>
            <w:vAlign w:val="center"/>
          </w:tcPr>
          <w:p>
            <w:pPr>
              <w:spacing w:line="240" w:lineRule="auto" w:after="40"/>
              <w:ind w:firstLine="0"/>
            </w:pPr>
            <w:r>
              <w:rPr>
                <w:rFonts w:ascii="Times New Roman" w:hAnsi="Times New Roman"/>
                <w:sz w:val="20"/>
              </w:rPr>
              <w:t>2</w:t>
            </w:r>
          </w:p>
        </w:tc>
        <w:tc>
          <w:tcPr>
            <w:tcW w:type="dxa" w:w="2608"/>
            <w:vAlign w:val="center"/>
          </w:tcPr>
          <w:p>
            <w:pPr>
              <w:spacing w:line="240" w:lineRule="auto" w:after="40"/>
              <w:ind w:firstLine="0"/>
            </w:pPr>
            <w:r>
              <w:rPr>
                <w:rFonts w:ascii="Times New Roman" w:hAnsi="Times New Roman"/>
                <w:sz w:val="20"/>
              </w:rPr>
              <w:t>API → склад</w:t>
            </w:r>
          </w:p>
        </w:tc>
        <w:tc>
          <w:tcPr>
            <w:tcW w:type="dxa" w:w="5102"/>
            <w:vAlign w:val="center"/>
          </w:tcPr>
          <w:p>
            <w:pPr>
              <w:spacing w:line="240" w:lineRule="auto" w:after="40"/>
              <w:ind w:firstLine="0"/>
            </w:pPr>
            <w:r>
              <w:rPr>
                <w:rFonts w:ascii="Times New Roman" w:hAnsi="Times New Roman"/>
                <w:sz w:val="20"/>
              </w:rPr>
              <w:t>Проверить SKU и зарезервировать количество</w:t>
            </w:r>
          </w:p>
        </w:tc>
      </w:tr>
      <w:tr>
        <w:tc>
          <w:tcPr>
            <w:tcW w:type="dxa" w:w="794"/>
            <w:vAlign w:val="center"/>
          </w:tcPr>
          <w:p>
            <w:pPr>
              <w:spacing w:line="240" w:lineRule="auto" w:after="40"/>
              <w:ind w:firstLine="0"/>
            </w:pPr>
            <w:r>
              <w:rPr>
                <w:rFonts w:ascii="Times New Roman" w:hAnsi="Times New Roman"/>
                <w:sz w:val="20"/>
              </w:rPr>
              <w:t>3</w:t>
            </w:r>
          </w:p>
        </w:tc>
        <w:tc>
          <w:tcPr>
            <w:tcW w:type="dxa" w:w="2608"/>
            <w:vAlign w:val="center"/>
          </w:tcPr>
          <w:p>
            <w:pPr>
              <w:spacing w:line="240" w:lineRule="auto" w:after="40"/>
              <w:ind w:firstLine="0"/>
            </w:pPr>
            <w:r>
              <w:rPr>
                <w:rFonts w:ascii="Times New Roman" w:hAnsi="Times New Roman"/>
                <w:sz w:val="20"/>
              </w:rPr>
              <w:t>Оркестратор → оплата</w:t>
            </w:r>
          </w:p>
        </w:tc>
        <w:tc>
          <w:tcPr>
            <w:tcW w:type="dxa" w:w="5102"/>
            <w:vAlign w:val="center"/>
          </w:tcPr>
          <w:p>
            <w:pPr>
              <w:spacing w:line="240" w:lineRule="auto" w:after="40"/>
              <w:ind w:firstLine="0"/>
            </w:pPr>
            <w:r>
              <w:rPr>
                <w:rFonts w:ascii="Times New Roman" w:hAnsi="Times New Roman"/>
                <w:sz w:val="20"/>
              </w:rPr>
              <w:t>Авторизовать сумму и получить результат</w:t>
            </w:r>
          </w:p>
        </w:tc>
      </w:tr>
      <w:tr>
        <w:tc>
          <w:tcPr>
            <w:tcW w:type="dxa" w:w="794"/>
            <w:vAlign w:val="center"/>
          </w:tcPr>
          <w:p>
            <w:pPr>
              <w:spacing w:line="240" w:lineRule="auto" w:after="40"/>
              <w:ind w:firstLine="0"/>
            </w:pPr>
            <w:r>
              <w:rPr>
                <w:rFonts w:ascii="Times New Roman" w:hAnsi="Times New Roman"/>
                <w:sz w:val="20"/>
              </w:rPr>
              <w:t>4</w:t>
            </w:r>
          </w:p>
        </w:tc>
        <w:tc>
          <w:tcPr>
            <w:tcW w:type="dxa" w:w="2608"/>
            <w:vAlign w:val="center"/>
          </w:tcPr>
          <w:p>
            <w:pPr>
              <w:spacing w:line="240" w:lineRule="auto" w:after="40"/>
              <w:ind w:firstLine="0"/>
            </w:pPr>
            <w:r>
              <w:rPr>
                <w:rFonts w:ascii="Times New Roman" w:hAnsi="Times New Roman"/>
                <w:sz w:val="20"/>
              </w:rPr>
              <w:t>Оркестратор → БД/outbox</w:t>
            </w:r>
          </w:p>
        </w:tc>
        <w:tc>
          <w:tcPr>
            <w:tcW w:type="dxa" w:w="5102"/>
            <w:vAlign w:val="center"/>
          </w:tcPr>
          <w:p>
            <w:pPr>
              <w:spacing w:line="240" w:lineRule="auto" w:after="40"/>
              <w:ind w:firstLine="0"/>
            </w:pPr>
            <w:r>
              <w:rPr>
                <w:rFonts w:ascii="Times New Roman" w:hAnsi="Times New Roman"/>
                <w:sz w:val="20"/>
              </w:rPr>
              <w:t>Атомарно сохранить confirmed и событие</w:t>
            </w:r>
          </w:p>
        </w:tc>
      </w:tr>
      <w:tr>
        <w:tc>
          <w:tcPr>
            <w:tcW w:type="dxa" w:w="794"/>
            <w:vAlign w:val="center"/>
          </w:tcPr>
          <w:p>
            <w:pPr>
              <w:spacing w:line="240" w:lineRule="auto" w:after="40"/>
              <w:ind w:firstLine="0"/>
            </w:pPr>
            <w:r>
              <w:rPr>
                <w:rFonts w:ascii="Times New Roman" w:hAnsi="Times New Roman"/>
                <w:sz w:val="20"/>
              </w:rPr>
              <w:t>5</w:t>
            </w:r>
          </w:p>
        </w:tc>
        <w:tc>
          <w:tcPr>
            <w:tcW w:type="dxa" w:w="2608"/>
            <w:vAlign w:val="center"/>
          </w:tcPr>
          <w:p>
            <w:pPr>
              <w:spacing w:line="240" w:lineRule="auto" w:after="40"/>
              <w:ind w:firstLine="0"/>
            </w:pPr>
            <w:r>
              <w:rPr>
                <w:rFonts w:ascii="Times New Roman" w:hAnsi="Times New Roman"/>
                <w:sz w:val="20"/>
              </w:rPr>
              <w:t>Publisher → брокер</w:t>
            </w:r>
          </w:p>
        </w:tc>
        <w:tc>
          <w:tcPr>
            <w:tcW w:type="dxa" w:w="5102"/>
            <w:vAlign w:val="center"/>
          </w:tcPr>
          <w:p>
            <w:pPr>
              <w:spacing w:line="240" w:lineRule="auto" w:after="40"/>
              <w:ind w:firstLine="0"/>
            </w:pPr>
            <w:r>
              <w:rPr>
                <w:rFonts w:ascii="Times New Roman" w:hAnsi="Times New Roman"/>
                <w:sz w:val="20"/>
              </w:rPr>
              <w:t>Опубликовать OrderConfirmed</w:t>
            </w:r>
          </w:p>
        </w:tc>
      </w:tr>
      <w:tr>
        <w:tc>
          <w:tcPr>
            <w:tcW w:type="dxa" w:w="794"/>
            <w:vAlign w:val="center"/>
          </w:tcPr>
          <w:p>
            <w:pPr>
              <w:spacing w:line="240" w:lineRule="auto" w:after="40"/>
              <w:ind w:firstLine="0"/>
            </w:pPr>
            <w:r>
              <w:rPr>
                <w:rFonts w:ascii="Times New Roman" w:hAnsi="Times New Roman"/>
                <w:sz w:val="20"/>
              </w:rPr>
              <w:t>6</w:t>
            </w:r>
          </w:p>
        </w:tc>
        <w:tc>
          <w:tcPr>
            <w:tcW w:type="dxa" w:w="2608"/>
            <w:vAlign w:val="center"/>
          </w:tcPr>
          <w:p>
            <w:pPr>
              <w:spacing w:line="240" w:lineRule="auto" w:after="40"/>
              <w:ind w:firstLine="0"/>
            </w:pPr>
            <w:r>
              <w:rPr>
                <w:rFonts w:ascii="Times New Roman" w:hAnsi="Times New Roman"/>
                <w:sz w:val="20"/>
              </w:rPr>
              <w:t>Брокер → CRM</w:t>
            </w:r>
          </w:p>
        </w:tc>
        <w:tc>
          <w:tcPr>
            <w:tcW w:type="dxa" w:w="5102"/>
            <w:vAlign w:val="center"/>
          </w:tcPr>
          <w:p>
            <w:pPr>
              <w:spacing w:line="240" w:lineRule="auto" w:after="40"/>
              <w:ind w:firstLine="0"/>
            </w:pPr>
            <w:r>
              <w:rPr>
                <w:rFonts w:ascii="Times New Roman" w:hAnsi="Times New Roman"/>
                <w:sz w:val="20"/>
              </w:rPr>
              <w:t>Дедуплицировать eventId и обновить историю</w:t>
            </w:r>
          </w:p>
        </w:tc>
      </w:tr>
      <w:tr>
        <w:tc>
          <w:tcPr>
            <w:tcW w:type="dxa" w:w="794"/>
            <w:vAlign w:val="center"/>
          </w:tcPr>
          <w:p>
            <w:pPr>
              <w:spacing w:line="240" w:lineRule="auto" w:after="40"/>
              <w:ind w:firstLine="0"/>
            </w:pPr>
            <w:r>
              <w:rPr>
                <w:rFonts w:ascii="Times New Roman" w:hAnsi="Times New Roman"/>
                <w:sz w:val="20"/>
              </w:rPr>
              <w:t>7</w:t>
            </w:r>
          </w:p>
        </w:tc>
        <w:tc>
          <w:tcPr>
            <w:tcW w:type="dxa" w:w="2608"/>
            <w:vAlign w:val="center"/>
          </w:tcPr>
          <w:p>
            <w:pPr>
              <w:spacing w:line="240" w:lineRule="auto" w:after="40"/>
              <w:ind w:firstLine="0"/>
            </w:pPr>
            <w:r>
              <w:rPr>
                <w:rFonts w:ascii="Times New Roman" w:hAnsi="Times New Roman"/>
                <w:sz w:val="20"/>
              </w:rPr>
              <w:t>API → витрина</w:t>
            </w:r>
          </w:p>
        </w:tc>
        <w:tc>
          <w:tcPr>
            <w:tcW w:type="dxa" w:w="5102"/>
            <w:vAlign w:val="center"/>
          </w:tcPr>
          <w:p>
            <w:pPr>
              <w:spacing w:line="240" w:lineRule="auto" w:after="40"/>
              <w:ind w:firstLine="0"/>
            </w:pPr>
            <w:r>
              <w:rPr>
                <w:rFonts w:ascii="Times New Roman" w:hAnsi="Times New Roman"/>
                <w:sz w:val="20"/>
              </w:rPr>
              <w:t>Вернуть orderId, status и итоговую сумму</w:t>
            </w:r>
          </w:p>
        </w:tc>
      </w:tr>
    </w:tbl>
    <w:p>
      <w:pPr>
        <w:spacing w:after="40"/>
      </w:pPr>
    </w:p>
    <w:p>
      <w:r>
        <w:t>Для презентации последовательность можно представить так: Покупатель → Витрина → API-шлюз → Оркестратор → Склад → Платёжный шлюз → Брокер → CRM. Ответы склада и оплаты возвращаются оркестратору до подтверждения заказа; CRM получает событие после фиксации бизнес-результата. Контракт не обещает общей распределённой транзакции между всеми системами.</w:t>
      </w:r>
    </w:p>
    <w:p>
      <w:pPr>
        <w:ind w:firstLine="0"/>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slide-05.png"/>
                    <pic:cNvPicPr/>
                  </pic:nvPicPr>
                  <pic:blipFill>
                    <a:blip r:embed="rId11"/>
                    <a:stretch>
                      <a:fillRect/>
                    </a:stretch>
                  </pic:blipFill>
                  <pic:spPr>
                    <a:xfrm>
                      <a:off x="0" y="0"/>
                      <a:ext cx="5760000" cy="3240000"/>
                    </a:xfrm>
                    <a:prstGeom prst="rect"/>
                  </pic:spPr>
                </pic:pic>
              </a:graphicData>
            </a:graphic>
          </wp:inline>
        </w:drawing>
      </w:r>
    </w:p>
    <w:p>
      <w:pPr>
        <w:ind w:firstLine="0"/>
        <w:jc w:val="center"/>
      </w:pPr>
      <w:r>
        <w:t>Рисунок 2 — Диаграмма последовательности успешного заказа и отказа оплаты</w:t>
      </w:r>
    </w:p>
    <w:p>
      <w:r>
        <w:br w:type="page"/>
      </w:r>
    </w:p>
    <w:p>
      <w:pPr>
        <w:pStyle w:val="Heading2"/>
        <w:ind w:firstLine="0"/>
      </w:pPr>
      <w:r>
        <w:t>2.4 ОБРАБОТКА ОШИБОК И ИСКЛЮЧЕНИЙ</w:t>
      </w:r>
    </w:p>
    <w:p>
      <w:r>
        <w:t>Ошибки делятся на ошибки данных, бизнес-отказы и временные технические сбои. Ошибка формата возвращает 400, неизвестный маршрут — 404, недостаток остатка — 409, недопустимое значение — 422. Отказ платежа в демонстрационной модели возвращает статус 402 и код PAYMENT_DECLINED. В промышленном API внешняя причина отказа может быть нормализована до безопасного кода, тогда как исходные сведения сохраняются только в защищённом журнале.</w:t>
      </w:r>
    </w:p>
    <w:p>
      <w:r>
        <w:t>Если склад отклонил резерв, сервис не вызывает оплату и возвращает ошибку с SKU, доступным и запрошенным количеством. Если оплата отклонена после успешного резерва, интеграция инициирует компенсационную команду освобождения резерва. Повтор команды освобождения должен быть идемпотентным. Если подтверждение оплаты неизвестно из-за тайм-аута, нельзя сразу повторять списание без ключа операции: адаптер запрашивает состояние по providerRef или посылает безопасный повтор с тем же ключом.</w:t>
      </w:r>
    </w:p>
    <w:p>
      <w:r>
        <w:t>При временной недоступности CRM успешный заказ не откатывается. Outbox сохраняет событие до подтверждённой доставки, а издатель повторяет отправку с возрастающей задержкой и случайным разбросом. После заданного количества ошибок событие попадает в dead-letter queue, где оператор может увидеть причину, исправить контракт или зависимость и повторно запустить обработку. Повторная публикация не должна создавать повторный эффект благодаря inbox-дедупликации.</w:t>
      </w:r>
    </w:p>
    <w:tbl>
      <w:tblPr>
        <w:tblStyle w:val="TableGrid"/>
        <w:tblW w:type="auto" w:w="0"/>
        <w:jc w:val="center"/>
        <w:tblLook w:firstColumn="1" w:firstRow="1" w:lastColumn="0" w:lastRow="0" w:noHBand="0" w:noVBand="1" w:val="04A0"/>
      </w:tblPr>
      <w:tblGrid>
        <w:gridCol w:w="3230"/>
        <w:gridCol w:w="3230"/>
        <w:gridCol w:w="3230"/>
      </w:tblGrid>
      <w:tr>
        <w:tc>
          <w:tcPr>
            <w:tcW w:type="dxa" w:w="1814"/>
            <w:vAlign w:val="center"/>
            <w:shd w:fill="24476B"/>
          </w:tcPr>
          <w:p>
            <w:r>
              <w:rPr>
                <w:rFonts w:ascii="Times New Roman" w:hAnsi="Times New Roman"/>
                <w:b/>
                <w:color w:val="FFFFFF"/>
                <w:sz w:val="20"/>
              </w:rPr>
              <w:t>Ситуация</w:t>
            </w:r>
          </w:p>
        </w:tc>
        <w:tc>
          <w:tcPr>
            <w:tcW w:type="dxa" w:w="3628"/>
            <w:vAlign w:val="center"/>
            <w:shd w:fill="24476B"/>
          </w:tcPr>
          <w:p>
            <w:r>
              <w:rPr>
                <w:rFonts w:ascii="Times New Roman" w:hAnsi="Times New Roman"/>
                <w:b/>
                <w:color w:val="FFFFFF"/>
                <w:sz w:val="20"/>
              </w:rPr>
              <w:t>Действие интеграции</w:t>
            </w:r>
          </w:p>
        </w:tc>
        <w:tc>
          <w:tcPr>
            <w:tcW w:type="dxa" w:w="3061"/>
            <w:vAlign w:val="center"/>
            <w:shd w:fill="24476B"/>
          </w:tcPr>
          <w:p>
            <w:r>
              <w:rPr>
                <w:rFonts w:ascii="Times New Roman" w:hAnsi="Times New Roman"/>
                <w:b/>
                <w:color w:val="FFFFFF"/>
                <w:sz w:val="20"/>
              </w:rPr>
              <w:t>Ответ / восстановление</w:t>
            </w:r>
          </w:p>
        </w:tc>
      </w:tr>
      <w:tr>
        <w:tc>
          <w:tcPr>
            <w:tcW w:type="dxa" w:w="1814"/>
            <w:vAlign w:val="center"/>
          </w:tcPr>
          <w:p>
            <w:pPr>
              <w:spacing w:line="240" w:lineRule="auto" w:after="40"/>
              <w:ind w:firstLine="0"/>
            </w:pPr>
            <w:r>
              <w:rPr>
                <w:rFonts w:ascii="Times New Roman" w:hAnsi="Times New Roman"/>
                <w:sz w:val="20"/>
              </w:rPr>
              <w:t>Невалидный JSON</w:t>
            </w:r>
          </w:p>
        </w:tc>
        <w:tc>
          <w:tcPr>
            <w:tcW w:type="dxa" w:w="3628"/>
            <w:vAlign w:val="center"/>
          </w:tcPr>
          <w:p>
            <w:pPr>
              <w:spacing w:line="240" w:lineRule="auto" w:after="40"/>
              <w:ind w:firstLine="0"/>
            </w:pPr>
            <w:r>
              <w:rPr>
                <w:rFonts w:ascii="Times New Roman" w:hAnsi="Times New Roman"/>
                <w:sz w:val="20"/>
              </w:rPr>
              <w:t>Отклонить до бизнес-операций</w:t>
            </w:r>
          </w:p>
        </w:tc>
        <w:tc>
          <w:tcPr>
            <w:tcW w:type="dxa" w:w="3061"/>
            <w:vAlign w:val="center"/>
          </w:tcPr>
          <w:p>
            <w:pPr>
              <w:spacing w:line="240" w:lineRule="auto" w:after="40"/>
              <w:ind w:firstLine="0"/>
            </w:pPr>
            <w:r>
              <w:rPr>
                <w:rFonts w:ascii="Times New Roman" w:hAnsi="Times New Roman"/>
                <w:sz w:val="20"/>
              </w:rPr>
              <w:t>400 INVALID_JSON</w:t>
            </w:r>
          </w:p>
        </w:tc>
      </w:tr>
      <w:tr>
        <w:tc>
          <w:tcPr>
            <w:tcW w:type="dxa" w:w="1814"/>
            <w:vAlign w:val="center"/>
          </w:tcPr>
          <w:p>
            <w:pPr>
              <w:spacing w:line="240" w:lineRule="auto" w:after="40"/>
              <w:ind w:firstLine="0"/>
            </w:pPr>
            <w:r>
              <w:rPr>
                <w:rFonts w:ascii="Times New Roman" w:hAnsi="Times New Roman"/>
                <w:sz w:val="20"/>
              </w:rPr>
              <w:t>SKU отсутствует</w:t>
            </w:r>
          </w:p>
        </w:tc>
        <w:tc>
          <w:tcPr>
            <w:tcW w:type="dxa" w:w="3628"/>
            <w:vAlign w:val="center"/>
          </w:tcPr>
          <w:p>
            <w:pPr>
              <w:spacing w:line="240" w:lineRule="auto" w:after="40"/>
              <w:ind w:firstLine="0"/>
            </w:pPr>
            <w:r>
              <w:rPr>
                <w:rFonts w:ascii="Times New Roman" w:hAnsi="Times New Roman"/>
                <w:sz w:val="20"/>
              </w:rPr>
              <w:t>Остановить сценарий до резерва</w:t>
            </w:r>
          </w:p>
        </w:tc>
        <w:tc>
          <w:tcPr>
            <w:tcW w:type="dxa" w:w="3061"/>
            <w:vAlign w:val="center"/>
          </w:tcPr>
          <w:p>
            <w:pPr>
              <w:spacing w:line="240" w:lineRule="auto" w:after="40"/>
              <w:ind w:firstLine="0"/>
            </w:pPr>
            <w:r>
              <w:rPr>
                <w:rFonts w:ascii="Times New Roman" w:hAnsi="Times New Roman"/>
                <w:sz w:val="20"/>
              </w:rPr>
              <w:t>422 UNKNOWN_SKU</w:t>
            </w:r>
          </w:p>
        </w:tc>
      </w:tr>
      <w:tr>
        <w:tc>
          <w:tcPr>
            <w:tcW w:type="dxa" w:w="1814"/>
            <w:vAlign w:val="center"/>
          </w:tcPr>
          <w:p>
            <w:pPr>
              <w:spacing w:line="240" w:lineRule="auto" w:after="40"/>
              <w:ind w:firstLine="0"/>
            </w:pPr>
            <w:r>
              <w:rPr>
                <w:rFonts w:ascii="Times New Roman" w:hAnsi="Times New Roman"/>
                <w:sz w:val="20"/>
              </w:rPr>
              <w:t>Недостаток товара</w:t>
            </w:r>
          </w:p>
        </w:tc>
        <w:tc>
          <w:tcPr>
            <w:tcW w:type="dxa" w:w="3628"/>
            <w:vAlign w:val="center"/>
          </w:tcPr>
          <w:p>
            <w:pPr>
              <w:spacing w:line="240" w:lineRule="auto" w:after="40"/>
              <w:ind w:firstLine="0"/>
            </w:pPr>
            <w:r>
              <w:rPr>
                <w:rFonts w:ascii="Times New Roman" w:hAnsi="Times New Roman"/>
                <w:sz w:val="20"/>
              </w:rPr>
              <w:t>Не создавать заказ; показать остаток</w:t>
            </w:r>
          </w:p>
        </w:tc>
        <w:tc>
          <w:tcPr>
            <w:tcW w:type="dxa" w:w="3061"/>
            <w:vAlign w:val="center"/>
          </w:tcPr>
          <w:p>
            <w:pPr>
              <w:spacing w:line="240" w:lineRule="auto" w:after="40"/>
              <w:ind w:firstLine="0"/>
            </w:pPr>
            <w:r>
              <w:rPr>
                <w:rFonts w:ascii="Times New Roman" w:hAnsi="Times New Roman"/>
                <w:sz w:val="20"/>
              </w:rPr>
              <w:t>409 OUT_OF_STOCK</w:t>
            </w:r>
          </w:p>
        </w:tc>
      </w:tr>
      <w:tr>
        <w:tc>
          <w:tcPr>
            <w:tcW w:type="dxa" w:w="1814"/>
            <w:vAlign w:val="center"/>
          </w:tcPr>
          <w:p>
            <w:pPr>
              <w:spacing w:line="240" w:lineRule="auto" w:after="40"/>
              <w:ind w:firstLine="0"/>
            </w:pPr>
            <w:r>
              <w:rPr>
                <w:rFonts w:ascii="Times New Roman" w:hAnsi="Times New Roman"/>
                <w:sz w:val="20"/>
              </w:rPr>
              <w:t>Платёж отклонён</w:t>
            </w:r>
          </w:p>
        </w:tc>
        <w:tc>
          <w:tcPr>
            <w:tcW w:type="dxa" w:w="3628"/>
            <w:vAlign w:val="center"/>
          </w:tcPr>
          <w:p>
            <w:pPr>
              <w:spacing w:line="240" w:lineRule="auto" w:after="40"/>
              <w:ind w:firstLine="0"/>
            </w:pPr>
            <w:r>
              <w:rPr>
                <w:rFonts w:ascii="Times New Roman" w:hAnsi="Times New Roman"/>
                <w:sz w:val="20"/>
              </w:rPr>
              <w:t>Снять резерв, зафиксировать cancelled</w:t>
            </w:r>
          </w:p>
        </w:tc>
        <w:tc>
          <w:tcPr>
            <w:tcW w:type="dxa" w:w="3061"/>
            <w:vAlign w:val="center"/>
          </w:tcPr>
          <w:p>
            <w:pPr>
              <w:spacing w:line="240" w:lineRule="auto" w:after="40"/>
              <w:ind w:firstLine="0"/>
            </w:pPr>
            <w:r>
              <w:rPr>
                <w:rFonts w:ascii="Times New Roman" w:hAnsi="Times New Roman"/>
                <w:sz w:val="20"/>
              </w:rPr>
              <w:t>402 PAYMENT_DECLINED</w:t>
            </w:r>
          </w:p>
        </w:tc>
      </w:tr>
      <w:tr>
        <w:tc>
          <w:tcPr>
            <w:tcW w:type="dxa" w:w="1814"/>
            <w:vAlign w:val="center"/>
          </w:tcPr>
          <w:p>
            <w:pPr>
              <w:spacing w:line="240" w:lineRule="auto" w:after="40"/>
              <w:ind w:firstLine="0"/>
            </w:pPr>
            <w:r>
              <w:rPr>
                <w:rFonts w:ascii="Times New Roman" w:hAnsi="Times New Roman"/>
                <w:sz w:val="20"/>
              </w:rPr>
              <w:t>Тайм-аут платежа</w:t>
            </w:r>
          </w:p>
        </w:tc>
        <w:tc>
          <w:tcPr>
            <w:tcW w:type="dxa" w:w="3628"/>
            <w:vAlign w:val="center"/>
          </w:tcPr>
          <w:p>
            <w:pPr>
              <w:spacing w:line="240" w:lineRule="auto" w:after="40"/>
              <w:ind w:firstLine="0"/>
            </w:pPr>
            <w:r>
              <w:rPr>
                <w:rFonts w:ascii="Times New Roman" w:hAnsi="Times New Roman"/>
                <w:sz w:val="20"/>
              </w:rPr>
              <w:t>Проверить результат по ключу операции</w:t>
            </w:r>
          </w:p>
        </w:tc>
        <w:tc>
          <w:tcPr>
            <w:tcW w:type="dxa" w:w="3061"/>
            <w:vAlign w:val="center"/>
          </w:tcPr>
          <w:p>
            <w:pPr>
              <w:spacing w:line="240" w:lineRule="auto" w:after="40"/>
              <w:ind w:firstLine="0"/>
            </w:pPr>
            <w:r>
              <w:rPr>
                <w:rFonts w:ascii="Times New Roman" w:hAnsi="Times New Roman"/>
                <w:sz w:val="20"/>
              </w:rPr>
              <w:t>Повтор безопасен только с тем же ключом</w:t>
            </w:r>
          </w:p>
        </w:tc>
      </w:tr>
      <w:tr>
        <w:tc>
          <w:tcPr>
            <w:tcW w:type="dxa" w:w="1814"/>
            <w:vAlign w:val="center"/>
          </w:tcPr>
          <w:p>
            <w:pPr>
              <w:spacing w:line="240" w:lineRule="auto" w:after="40"/>
              <w:ind w:firstLine="0"/>
            </w:pPr>
            <w:r>
              <w:rPr>
                <w:rFonts w:ascii="Times New Roman" w:hAnsi="Times New Roman"/>
                <w:sz w:val="20"/>
              </w:rPr>
              <w:t>CRM недоступна</w:t>
            </w:r>
          </w:p>
        </w:tc>
        <w:tc>
          <w:tcPr>
            <w:tcW w:type="dxa" w:w="3628"/>
            <w:vAlign w:val="center"/>
          </w:tcPr>
          <w:p>
            <w:pPr>
              <w:spacing w:line="240" w:lineRule="auto" w:after="40"/>
              <w:ind w:firstLine="0"/>
            </w:pPr>
            <w:r>
              <w:rPr>
                <w:rFonts w:ascii="Times New Roman" w:hAnsi="Times New Roman"/>
                <w:sz w:val="20"/>
              </w:rPr>
              <w:t>Сохранить событие в outbox и повторить</w:t>
            </w:r>
          </w:p>
        </w:tc>
        <w:tc>
          <w:tcPr>
            <w:tcW w:type="dxa" w:w="3061"/>
            <w:vAlign w:val="center"/>
          </w:tcPr>
          <w:p>
            <w:pPr>
              <w:spacing w:line="240" w:lineRule="auto" w:after="40"/>
              <w:ind w:firstLine="0"/>
            </w:pPr>
            <w:r>
              <w:rPr>
                <w:rFonts w:ascii="Times New Roman" w:hAnsi="Times New Roman"/>
                <w:sz w:val="20"/>
              </w:rPr>
              <w:t>DLQ после лимита попыток, затем разбор</w:t>
            </w:r>
          </w:p>
        </w:tc>
      </w:tr>
    </w:tbl>
    <w:p>
      <w:pPr>
        <w:spacing w:after="40"/>
      </w:pPr>
    </w:p>
    <w:p>
      <w:r>
        <w:br w:type="page"/>
      </w:r>
    </w:p>
    <w:p>
      <w:pPr>
        <w:pStyle w:val="Heading2"/>
        <w:ind w:firstLine="0"/>
      </w:pPr>
      <w:r>
        <w:t>2.5 НАДЁЖНОСТЬ, БЕЗОПАСНОСТЬ И ЭКСПЛУАТАЦИЯ</w:t>
      </w:r>
    </w:p>
    <w:p>
      <w:r>
        <w:t>Надёжность строится на сохранении бизнес-состояния до публикации события. Паттерн transactional outbox устраняет окно, в котором база заказа уже подтвердила операцию, а сообщение ещё не записано. Издатель может отправить событие более одного раза, поэтому потребитель ведёт inbox по сочетанию consumer и eventId. Такая схема обеспечивает повторяемую доставку с идемпотентным эффектом, но сама по себе не гарантирует единственную доставку на уровне сети.</w:t>
      </w:r>
    </w:p>
    <w:p>
      <w:r>
        <w:t>Защита промышленной интеграции включает шифрование соединений TLS, взаимную аутентификацию сервисов или короткоживущие токены, разграничение ролей, управление секретами вне исходного кода и ротацию ключей. Запросы проверяются на размер, структуру и частоту. События не должны включать данные банковской карты, пароли или избыточные контактные сведения. Политика хранения журналов определяется требованиями организации и применимым законодательством.</w:t>
      </w:r>
    </w:p>
    <w:p>
      <w:r>
        <w:t>Для расследования инцидентов в каждом событии сохраняются eventId, orderId, traceId, occurredAt и source. Логи не должны содержать секреты. Минимальный набор метрик: количество заказов по статусу, доля технических ошибок, задержка обработки события, число повторов и размер dead-letter очереди. Оповещение настраивается на устойчивый рост отставания, а не на единичный повтор.</w:t>
      </w:r>
    </w:p>
    <w:p>
      <w:r>
        <w:t>Резервное копирование базы и конфигурации проводится по установленному регламенту. Для брокера требуется проверить сохранность сообщений при перезапуске, поведение при потере узла и восстановление после исчерпания дискового пространства. Пороговые значения и целевые RPO/RTO должны определяться владельцем процесса; в рамках курсового проекта эти показатели не задавались и не измерялись.</w:t>
      </w:r>
    </w:p>
    <w:p>
      <w:r>
        <w:br w:type="page"/>
      </w:r>
    </w:p>
    <w:p>
      <w:pPr>
        <w:pStyle w:val="Heading1"/>
        <w:ind w:firstLine="0"/>
      </w:pPr>
      <w:r>
        <w:t>3 РЕАЛИЗАЦИЯ ПРОТОТИПА</w:t>
      </w:r>
    </w:p>
    <w:p>
      <w:pPr>
        <w:pStyle w:val="Heading2"/>
        <w:ind w:firstLine="0"/>
      </w:pPr>
      <w:r>
        <w:t>3.1 Структура и алгоритм обработки заказа</w:t>
      </w:r>
    </w:p>
    <w:p>
      <w:r>
        <w:t>Прототип размещён в каталоге prototype и использует только стандартную библиотеку Python. Модуль app.py содержит инициализацию схемы SQLite, доменную функцию создания заказа, HTTP-обработчик и локального CRM-консьюмера. Каталог contracts содержит JSON Schema событий. Файл asyncapi.yaml связывает имена каналов с сообщениями, а README описывает запуск и ограничения.</w:t>
      </w:r>
    </w:p>
    <w:p>
      <w:r>
        <w:t>Для каждого запроса функция create_order сначала проверяет Idempotency-Key. При найденном ключе она возвращает предшествующий результат. Для нового ключа валидируются customerId, список items, SKU и положительное количество. Сервис сверяет остаток и вычисляет сумму целыми копейками. Затем одна транзакция создаёт заказ и позиции и резервирует остаток. Положительный платёж переводит заказ в confirmed и пишет событие в outbox; отрицательный создаёт запись отказа, переводит заказ в cancelled и возвращает остаток.</w:t>
      </w:r>
    </w:p>
    <w:p>
      <w:r>
        <w:t>CRM-консьюмер читает непубликованные события, записывает eventId в таблицу inbox и выполняет upsert проекции клиента. Уникальный ключ inbox препятствует повторному бизнес-эффекту при дубле. HTTP-слой возвращает JSON с кодом ошибки и деталями. Маршруты /health, POST /orders и GET /orders/{id} покрывают демонстрационный сценарий.</w:t>
      </w:r>
    </w:p>
    <w:p>
      <w:r>
        <w:t>Упрощение, на которое следует обратить внимание при защите: в одном процессе порядок имитирует сразу все системы, а оплата задана булевым флагом paymentApproved. Это позволяет воспроизвести ветвление без сетевого провайдера. В реальном решении адаптеры должны обращаться к отдельным API и обрабатывать их контракты, тайм-ауты, авторизацию и схему сверки платежей.</w:t>
      </w:r>
    </w:p>
    <w:tbl>
      <w:tblPr>
        <w:tblStyle w:val="TableGrid"/>
        <w:tblW w:type="auto" w:w="0"/>
        <w:jc w:val="center"/>
        <w:tblLook w:firstColumn="1" w:firstRow="1" w:lastColumn="0" w:lastRow="0" w:noHBand="0" w:noVBand="1" w:val="04A0"/>
      </w:tblPr>
      <w:tblGrid>
        <w:gridCol w:w="4844"/>
        <w:gridCol w:w="4844"/>
      </w:tblGrid>
      <w:tr>
        <w:tc>
          <w:tcPr>
            <w:tcW w:type="dxa" w:w="3118"/>
            <w:vAlign w:val="center"/>
            <w:shd w:fill="24476B"/>
          </w:tcPr>
          <w:p>
            <w:r>
              <w:rPr>
                <w:rFonts w:ascii="Times New Roman" w:hAnsi="Times New Roman"/>
                <w:b/>
                <w:color w:val="FFFFFF"/>
                <w:sz w:val="20"/>
              </w:rPr>
              <w:t>Файл</w:t>
            </w:r>
          </w:p>
        </w:tc>
        <w:tc>
          <w:tcPr>
            <w:tcW w:type="dxa" w:w="5386"/>
            <w:vAlign w:val="center"/>
            <w:shd w:fill="24476B"/>
          </w:tcPr>
          <w:p>
            <w:r>
              <w:rPr>
                <w:rFonts w:ascii="Times New Roman" w:hAnsi="Times New Roman"/>
                <w:b/>
                <w:color w:val="FFFFFF"/>
                <w:sz w:val="20"/>
              </w:rPr>
              <w:t>Содержание</w:t>
            </w:r>
          </w:p>
        </w:tc>
      </w:tr>
      <w:tr>
        <w:tc>
          <w:tcPr>
            <w:tcW w:type="dxa" w:w="3118"/>
            <w:vAlign w:val="center"/>
          </w:tcPr>
          <w:p>
            <w:pPr>
              <w:spacing w:line="240" w:lineRule="auto" w:after="40"/>
              <w:ind w:firstLine="0"/>
            </w:pPr>
            <w:r>
              <w:rPr>
                <w:rFonts w:ascii="Times New Roman" w:hAnsi="Times New Roman"/>
                <w:sz w:val="20"/>
              </w:rPr>
              <w:t>prototype/app.py</w:t>
            </w:r>
          </w:p>
        </w:tc>
        <w:tc>
          <w:tcPr>
            <w:tcW w:type="dxa" w:w="5386"/>
            <w:vAlign w:val="center"/>
          </w:tcPr>
          <w:p>
            <w:pPr>
              <w:spacing w:line="240" w:lineRule="auto" w:after="40"/>
              <w:ind w:firstLine="0"/>
            </w:pPr>
            <w:r>
              <w:rPr>
                <w:rFonts w:ascii="Times New Roman" w:hAnsi="Times New Roman"/>
                <w:sz w:val="20"/>
              </w:rPr>
              <w:t>HTTP API, транзакции SQLite, адаптерная логика и CRM consumer</w:t>
            </w:r>
          </w:p>
        </w:tc>
      </w:tr>
      <w:tr>
        <w:tc>
          <w:tcPr>
            <w:tcW w:type="dxa" w:w="3118"/>
            <w:vAlign w:val="center"/>
          </w:tcPr>
          <w:p>
            <w:pPr>
              <w:spacing w:line="240" w:lineRule="auto" w:after="40"/>
              <w:ind w:firstLine="0"/>
            </w:pPr>
            <w:r>
              <w:rPr>
                <w:rFonts w:ascii="Times New Roman" w:hAnsi="Times New Roman"/>
                <w:sz w:val="20"/>
              </w:rPr>
              <w:t>prototype/contracts/order-created.schema.json</w:t>
            </w:r>
          </w:p>
        </w:tc>
        <w:tc>
          <w:tcPr>
            <w:tcW w:type="dxa" w:w="5386"/>
            <w:vAlign w:val="center"/>
          </w:tcPr>
          <w:p>
            <w:pPr>
              <w:spacing w:line="240" w:lineRule="auto" w:after="40"/>
              <w:ind w:firstLine="0"/>
            </w:pPr>
            <w:r>
              <w:rPr>
                <w:rFonts w:ascii="Times New Roman" w:hAnsi="Times New Roman"/>
                <w:sz w:val="20"/>
              </w:rPr>
              <w:t>Схема зарегистрированного заказа</w:t>
            </w:r>
          </w:p>
        </w:tc>
      </w:tr>
      <w:tr>
        <w:tc>
          <w:tcPr>
            <w:tcW w:type="dxa" w:w="3118"/>
            <w:vAlign w:val="center"/>
          </w:tcPr>
          <w:p>
            <w:pPr>
              <w:spacing w:line="240" w:lineRule="auto" w:after="40"/>
              <w:ind w:firstLine="0"/>
            </w:pPr>
            <w:r>
              <w:rPr>
                <w:rFonts w:ascii="Times New Roman" w:hAnsi="Times New Roman"/>
                <w:sz w:val="20"/>
              </w:rPr>
              <w:t>prototype/contracts/order-confirmed.schema.json</w:t>
            </w:r>
          </w:p>
        </w:tc>
        <w:tc>
          <w:tcPr>
            <w:tcW w:type="dxa" w:w="5386"/>
            <w:vAlign w:val="center"/>
          </w:tcPr>
          <w:p>
            <w:pPr>
              <w:spacing w:line="240" w:lineRule="auto" w:after="40"/>
              <w:ind w:firstLine="0"/>
            </w:pPr>
            <w:r>
              <w:rPr>
                <w:rFonts w:ascii="Times New Roman" w:hAnsi="Times New Roman"/>
                <w:sz w:val="20"/>
              </w:rPr>
              <w:t>Схема подтверждённого заказа</w:t>
            </w:r>
          </w:p>
        </w:tc>
      </w:tr>
      <w:tr>
        <w:tc>
          <w:tcPr>
            <w:tcW w:type="dxa" w:w="3118"/>
            <w:vAlign w:val="center"/>
          </w:tcPr>
          <w:p>
            <w:pPr>
              <w:spacing w:line="240" w:lineRule="auto" w:after="40"/>
              <w:ind w:firstLine="0"/>
            </w:pPr>
            <w:r>
              <w:rPr>
                <w:rFonts w:ascii="Times New Roman" w:hAnsi="Times New Roman"/>
                <w:sz w:val="20"/>
              </w:rPr>
              <w:t>prototype/asyncapi.yaml</w:t>
            </w:r>
          </w:p>
        </w:tc>
        <w:tc>
          <w:tcPr>
            <w:tcW w:type="dxa" w:w="5386"/>
            <w:vAlign w:val="center"/>
          </w:tcPr>
          <w:p>
            <w:pPr>
              <w:spacing w:line="240" w:lineRule="auto" w:after="40"/>
              <w:ind w:firstLine="0"/>
            </w:pPr>
            <w:r>
              <w:rPr>
                <w:rFonts w:ascii="Times New Roman" w:hAnsi="Times New Roman"/>
                <w:sz w:val="20"/>
              </w:rPr>
              <w:t>Каналы и сообщения событийного интерфейса</w:t>
            </w:r>
          </w:p>
        </w:tc>
      </w:tr>
      <w:tr>
        <w:tc>
          <w:tcPr>
            <w:tcW w:type="dxa" w:w="3118"/>
            <w:vAlign w:val="center"/>
          </w:tcPr>
          <w:p>
            <w:pPr>
              <w:spacing w:line="240" w:lineRule="auto" w:after="40"/>
              <w:ind w:firstLine="0"/>
            </w:pPr>
            <w:r>
              <w:rPr>
                <w:rFonts w:ascii="Times New Roman" w:hAnsi="Times New Roman"/>
                <w:sz w:val="20"/>
              </w:rPr>
              <w:t>prototype/test_app.py</w:t>
            </w:r>
          </w:p>
        </w:tc>
        <w:tc>
          <w:tcPr>
            <w:tcW w:type="dxa" w:w="5386"/>
            <w:vAlign w:val="center"/>
          </w:tcPr>
          <w:p>
            <w:pPr>
              <w:spacing w:line="240" w:lineRule="auto" w:after="40"/>
              <w:ind w:firstLine="0"/>
            </w:pPr>
            <w:r>
              <w:rPr>
                <w:rFonts w:ascii="Times New Roman" w:hAnsi="Times New Roman"/>
                <w:sz w:val="20"/>
              </w:rPr>
              <w:t>Проверки положительного и отказных сценариев</w:t>
            </w:r>
          </w:p>
        </w:tc>
      </w:tr>
      <w:tr>
        <w:tc>
          <w:tcPr>
            <w:tcW w:type="dxa" w:w="3118"/>
            <w:vAlign w:val="center"/>
          </w:tcPr>
          <w:p>
            <w:pPr>
              <w:spacing w:line="240" w:lineRule="auto" w:after="40"/>
              <w:ind w:firstLine="0"/>
            </w:pPr>
            <w:r>
              <w:rPr>
                <w:rFonts w:ascii="Times New Roman" w:hAnsi="Times New Roman"/>
                <w:sz w:val="20"/>
              </w:rPr>
              <w:t>prototype/README.md</w:t>
            </w:r>
          </w:p>
        </w:tc>
        <w:tc>
          <w:tcPr>
            <w:tcW w:type="dxa" w:w="5386"/>
            <w:vAlign w:val="center"/>
          </w:tcPr>
          <w:p>
            <w:pPr>
              <w:spacing w:line="240" w:lineRule="auto" w:after="40"/>
              <w:ind w:firstLine="0"/>
            </w:pPr>
            <w:r>
              <w:rPr>
                <w:rFonts w:ascii="Times New Roman" w:hAnsi="Times New Roman"/>
                <w:sz w:val="20"/>
              </w:rPr>
              <w:t>Инструкция запуска и границы учебной реализации</w:t>
            </w:r>
          </w:p>
        </w:tc>
      </w:tr>
    </w:tbl>
    <w:p>
      <w:pPr>
        <w:spacing w:after="40"/>
      </w:pPr>
    </w:p>
    <w:p>
      <w:r>
        <w:br w:type="page"/>
      </w:r>
    </w:p>
    <w:p>
      <w:pPr>
        <w:pStyle w:val="Heading2"/>
        <w:ind w:firstLine="0"/>
      </w:pPr>
      <w:r>
        <w:t>3.2 ИНТЕРФЕЙСЫ ПРОТОТИПА</w:t>
      </w:r>
    </w:p>
    <w:p>
      <w:r>
        <w:t>Запрос POST /orders содержит customerId и массив items с полями sku и quantity. Необязательный флаг paymentApproved используется только для имитации внешнего шлюза. Ключ Idempotency-Key передаётся HTTP-заголовком. Успешный новый заказ возвращает 201; повтор ключа — 200; отказ оплаты — 402; нехватка товара — 409. GET /orders/{id} возвращает состояние и позиции. GET /health обеспечивает базовую проверку процесса.</w:t>
      </w:r>
    </w:p>
    <w:p>
      <w:r>
        <w:t>Сумма в ответе представлена полем totalMinor и валютой RUB. Значение totalMinor — целое число копеек. Например, цена лампы 245000 означает 2 450 рублей. Такое представление сохраняет точность на границе систем. В промышленной схеме формат суммы согласуют с платёжным провайдером и требованиями бухгалтерского учёта.</w:t>
      </w:r>
    </w:p>
    <w:p>
      <w:r>
        <w:t>Тело ошибки имеет вид {"error":{"code":"OUT_OF_STOCK","message":"Недостаточно товара SKU-CHAIR","details":{"sku":"SKU-CHAIR","available":12,"requested":99}}}. Поле code предназначено для логики клиента, message — для диагностики и поддержки, details — для контекста. Клиент не должен разбирать человекочитаемый текст для определения ветки обработки.</w:t>
      </w:r>
    </w:p>
    <w:p>
      <w:r>
        <w:t>Контракты в каталоге prototype/contracts являются частью поставки. JSON Schema фиксирует обязательные поля и примитивные ограничения. Файл AsyncAPI показывает, какие события направляются в orders.created и orders.confirmed. Перед промышленным внедрением следует добавить OpenAPI для HTTP-методов, формальные примеры, общую схему заголовков и процедуру публикации совместимых версий.</w:t>
      </w:r>
    </w:p>
    <w:p>
      <w:r>
        <w:br w:type="page"/>
      </w:r>
    </w:p>
    <w:p>
      <w:pPr>
        <w:pStyle w:val="Heading1"/>
        <w:ind w:firstLine="0"/>
      </w:pPr>
      <w:r>
        <w:t>4 ПРОВЕРКА РЕШЕНИЯ</w:t>
      </w:r>
    </w:p>
    <w:p>
      <w:pPr>
        <w:pStyle w:val="Heading2"/>
        <w:ind w:firstLine="0"/>
      </w:pPr>
      <w:r>
        <w:t>4.1 Сценарии и результаты проверки</w:t>
      </w:r>
    </w:p>
    <w:p>
      <w:r>
        <w:t>Проверка построена как набор сценариев, соответствующих критическим веткам процесса. Для успешного заказа оцениваются статус confirmed, уменьшение остатка на число заказанных единиц и обновление CRM. Для недостатка товара подтверждается код OUT_OF_STOCK и отсутствие созданного заказа. Для отказа оплаты проверяются статус cancelled, восстановление остатка и отсутствие события подтверждения. Для повтора с тем же ключом проверяется совпадение orderId и однократное уменьшение остатка.</w:t>
      </w:r>
    </w:p>
    <w:p>
      <w:r>
        <w:t>Автоматизированные проверки находятся в test_app.py и используют отдельную локальную базу, чтобы каждый случай начинался с чистого состояния. Четыре теста проверяют доменные ветки напрямую; ещё три поднимают HTTP-обработчик на loopback-порту и проверяют передачу JSON-запроса, заголовок идемпотентности, ответ POST, чтение GET и структурированные коды отказа. Сетевые сбои внешних систем, конкурентная нагрузка, безопасность и производительность не проверяются тестовым набором.</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24"/>
            <w:vAlign w:val="center"/>
            <w:shd w:fill="24476B"/>
          </w:tcPr>
          <w:p>
            <w:r>
              <w:rPr>
                <w:rFonts w:ascii="Times New Roman" w:hAnsi="Times New Roman"/>
                <w:b/>
                <w:color w:val="FFFFFF"/>
                <w:sz w:val="20"/>
              </w:rPr>
              <w:t>ID</w:t>
            </w:r>
          </w:p>
        </w:tc>
        <w:tc>
          <w:tcPr>
            <w:tcW w:type="dxa" w:w="2324"/>
            <w:vAlign w:val="center"/>
            <w:shd w:fill="24476B"/>
          </w:tcPr>
          <w:p>
            <w:r>
              <w:rPr>
                <w:rFonts w:ascii="Times New Roman" w:hAnsi="Times New Roman"/>
                <w:b/>
                <w:color w:val="FFFFFF"/>
                <w:sz w:val="20"/>
              </w:rPr>
              <w:t>Сценарий</w:t>
            </w:r>
          </w:p>
        </w:tc>
        <w:tc>
          <w:tcPr>
            <w:tcW w:type="dxa" w:w="2891"/>
            <w:vAlign w:val="center"/>
            <w:shd w:fill="24476B"/>
          </w:tcPr>
          <w:p>
            <w:r>
              <w:rPr>
                <w:rFonts w:ascii="Times New Roman" w:hAnsi="Times New Roman"/>
                <w:b/>
                <w:color w:val="FFFFFF"/>
                <w:sz w:val="20"/>
              </w:rPr>
              <w:t>Ожидаемый результат</w:t>
            </w:r>
          </w:p>
        </w:tc>
        <w:tc>
          <w:tcPr>
            <w:tcW w:type="dxa" w:w="2665"/>
            <w:vAlign w:val="center"/>
            <w:shd w:fill="24476B"/>
          </w:tcPr>
          <w:p>
            <w:r>
              <w:rPr>
                <w:rFonts w:ascii="Times New Roman" w:hAnsi="Times New Roman"/>
                <w:b/>
                <w:color w:val="FFFFFF"/>
                <w:sz w:val="20"/>
              </w:rPr>
              <w:t>Фактическое наблюдение стенда</w:t>
            </w:r>
          </w:p>
        </w:tc>
      </w:tr>
      <w:tr>
        <w:tc>
          <w:tcPr>
            <w:tcW w:type="dxa" w:w="624"/>
            <w:vAlign w:val="center"/>
          </w:tcPr>
          <w:p>
            <w:pPr>
              <w:spacing w:line="240" w:lineRule="auto" w:after="40"/>
              <w:ind w:firstLine="0"/>
            </w:pPr>
            <w:r>
              <w:rPr>
                <w:rFonts w:ascii="Times New Roman" w:hAnsi="Times New Roman"/>
                <w:sz w:val="20"/>
              </w:rPr>
              <w:t>T-01</w:t>
            </w:r>
          </w:p>
        </w:tc>
        <w:tc>
          <w:tcPr>
            <w:tcW w:type="dxa" w:w="2324"/>
            <w:vAlign w:val="center"/>
          </w:tcPr>
          <w:p>
            <w:pPr>
              <w:spacing w:line="240" w:lineRule="auto" w:after="40"/>
              <w:ind w:firstLine="0"/>
            </w:pPr>
            <w:r>
              <w:rPr>
                <w:rFonts w:ascii="Times New Roman" w:hAnsi="Times New Roman"/>
                <w:sz w:val="20"/>
              </w:rPr>
              <w:t>Доступный товар и одобрение оплаты</w:t>
            </w:r>
          </w:p>
        </w:tc>
        <w:tc>
          <w:tcPr>
            <w:tcW w:type="dxa" w:w="2891"/>
            <w:vAlign w:val="center"/>
          </w:tcPr>
          <w:p>
            <w:pPr>
              <w:spacing w:line="240" w:lineRule="auto" w:after="40"/>
              <w:ind w:firstLine="0"/>
            </w:pPr>
            <w:r>
              <w:rPr>
                <w:rFonts w:ascii="Times New Roman" w:hAnsi="Times New Roman"/>
                <w:sz w:val="20"/>
              </w:rPr>
              <w:t>confirmed; остаток списан; CRM обновлена</w:t>
            </w:r>
          </w:p>
        </w:tc>
        <w:tc>
          <w:tcPr>
            <w:tcW w:type="dxa" w:w="2665"/>
            <w:vAlign w:val="center"/>
          </w:tcPr>
          <w:p>
            <w:pPr>
              <w:spacing w:line="240" w:lineRule="auto" w:after="40"/>
              <w:ind w:firstLine="0"/>
            </w:pPr>
            <w:r>
              <w:rPr>
                <w:rFonts w:ascii="Times New Roman" w:hAnsi="Times New Roman"/>
                <w:sz w:val="20"/>
              </w:rPr>
              <w:t>Пройдено; тест test_success_reserves_stock_and_updates_crm</w:t>
            </w:r>
          </w:p>
        </w:tc>
      </w:tr>
      <w:tr>
        <w:tc>
          <w:tcPr>
            <w:tcW w:type="dxa" w:w="624"/>
            <w:vAlign w:val="center"/>
          </w:tcPr>
          <w:p>
            <w:pPr>
              <w:spacing w:line="240" w:lineRule="auto" w:after="40"/>
              <w:ind w:firstLine="0"/>
            </w:pPr>
            <w:r>
              <w:rPr>
                <w:rFonts w:ascii="Times New Roman" w:hAnsi="Times New Roman"/>
                <w:sz w:val="20"/>
              </w:rPr>
              <w:t>T-02</w:t>
            </w:r>
          </w:p>
        </w:tc>
        <w:tc>
          <w:tcPr>
            <w:tcW w:type="dxa" w:w="2324"/>
            <w:vAlign w:val="center"/>
          </w:tcPr>
          <w:p>
            <w:pPr>
              <w:spacing w:line="240" w:lineRule="auto" w:after="40"/>
              <w:ind w:firstLine="0"/>
            </w:pPr>
            <w:r>
              <w:rPr>
                <w:rFonts w:ascii="Times New Roman" w:hAnsi="Times New Roman"/>
                <w:sz w:val="20"/>
              </w:rPr>
              <w:t>Запрошено больше доступного</w:t>
            </w:r>
          </w:p>
        </w:tc>
        <w:tc>
          <w:tcPr>
            <w:tcW w:type="dxa" w:w="2891"/>
            <w:vAlign w:val="center"/>
          </w:tcPr>
          <w:p>
            <w:pPr>
              <w:spacing w:line="240" w:lineRule="auto" w:after="40"/>
              <w:ind w:firstLine="0"/>
            </w:pPr>
            <w:r>
              <w:rPr>
                <w:rFonts w:ascii="Times New Roman" w:hAnsi="Times New Roman"/>
                <w:sz w:val="20"/>
              </w:rPr>
              <w:t>OUT_OF_STOCK; заказ не создан</w:t>
            </w:r>
          </w:p>
        </w:tc>
        <w:tc>
          <w:tcPr>
            <w:tcW w:type="dxa" w:w="2665"/>
            <w:vAlign w:val="center"/>
          </w:tcPr>
          <w:p>
            <w:pPr>
              <w:spacing w:line="240" w:lineRule="auto" w:after="40"/>
              <w:ind w:firstLine="0"/>
            </w:pPr>
            <w:r>
              <w:rPr>
                <w:rFonts w:ascii="Times New Roman" w:hAnsi="Times New Roman"/>
                <w:sz w:val="20"/>
              </w:rPr>
              <w:t>Пройдено; тест test_insufficient_stock_does_not_create_order</w:t>
            </w:r>
          </w:p>
        </w:tc>
      </w:tr>
      <w:tr>
        <w:tc>
          <w:tcPr>
            <w:tcW w:type="dxa" w:w="624"/>
            <w:vAlign w:val="center"/>
          </w:tcPr>
          <w:p>
            <w:pPr>
              <w:spacing w:line="240" w:lineRule="auto" w:after="40"/>
              <w:ind w:firstLine="0"/>
            </w:pPr>
            <w:r>
              <w:rPr>
                <w:rFonts w:ascii="Times New Roman" w:hAnsi="Times New Roman"/>
                <w:sz w:val="20"/>
              </w:rPr>
              <w:t>T-03</w:t>
            </w:r>
          </w:p>
        </w:tc>
        <w:tc>
          <w:tcPr>
            <w:tcW w:type="dxa" w:w="2324"/>
            <w:vAlign w:val="center"/>
          </w:tcPr>
          <w:p>
            <w:pPr>
              <w:spacing w:line="240" w:lineRule="auto" w:after="40"/>
              <w:ind w:firstLine="0"/>
            </w:pPr>
            <w:r>
              <w:rPr>
                <w:rFonts w:ascii="Times New Roman" w:hAnsi="Times New Roman"/>
                <w:sz w:val="20"/>
              </w:rPr>
              <w:t>Платёж отклонён после резерва</w:t>
            </w:r>
          </w:p>
        </w:tc>
        <w:tc>
          <w:tcPr>
            <w:tcW w:type="dxa" w:w="2891"/>
            <w:vAlign w:val="center"/>
          </w:tcPr>
          <w:p>
            <w:pPr>
              <w:spacing w:line="240" w:lineRule="auto" w:after="40"/>
              <w:ind w:firstLine="0"/>
            </w:pPr>
            <w:r>
              <w:rPr>
                <w:rFonts w:ascii="Times New Roman" w:hAnsi="Times New Roman"/>
                <w:sz w:val="20"/>
              </w:rPr>
              <w:t>cancelled; резерв возвращён</w:t>
            </w:r>
          </w:p>
        </w:tc>
        <w:tc>
          <w:tcPr>
            <w:tcW w:type="dxa" w:w="2665"/>
            <w:vAlign w:val="center"/>
          </w:tcPr>
          <w:p>
            <w:pPr>
              <w:spacing w:line="240" w:lineRule="auto" w:after="40"/>
              <w:ind w:firstLine="0"/>
            </w:pPr>
            <w:r>
              <w:rPr>
                <w:rFonts w:ascii="Times New Roman" w:hAnsi="Times New Roman"/>
                <w:sz w:val="20"/>
              </w:rPr>
              <w:t>Пройдено; тест test_payment_decline_releases_reserved_stock</w:t>
            </w:r>
          </w:p>
        </w:tc>
      </w:tr>
      <w:tr>
        <w:tc>
          <w:tcPr>
            <w:tcW w:type="dxa" w:w="624"/>
            <w:vAlign w:val="center"/>
          </w:tcPr>
          <w:p>
            <w:pPr>
              <w:spacing w:line="240" w:lineRule="auto" w:after="40"/>
              <w:ind w:firstLine="0"/>
            </w:pPr>
            <w:r>
              <w:rPr>
                <w:rFonts w:ascii="Times New Roman" w:hAnsi="Times New Roman"/>
                <w:sz w:val="20"/>
              </w:rPr>
              <w:t>T-04</w:t>
            </w:r>
          </w:p>
        </w:tc>
        <w:tc>
          <w:tcPr>
            <w:tcW w:type="dxa" w:w="2324"/>
            <w:vAlign w:val="center"/>
          </w:tcPr>
          <w:p>
            <w:pPr>
              <w:spacing w:line="240" w:lineRule="auto" w:after="40"/>
              <w:ind w:firstLine="0"/>
            </w:pPr>
            <w:r>
              <w:rPr>
                <w:rFonts w:ascii="Times New Roman" w:hAnsi="Times New Roman"/>
                <w:sz w:val="20"/>
              </w:rPr>
              <w:t>Повтор с тем же ключом</w:t>
            </w:r>
          </w:p>
        </w:tc>
        <w:tc>
          <w:tcPr>
            <w:tcW w:type="dxa" w:w="2891"/>
            <w:vAlign w:val="center"/>
          </w:tcPr>
          <w:p>
            <w:pPr>
              <w:spacing w:line="240" w:lineRule="auto" w:after="40"/>
              <w:ind w:firstLine="0"/>
            </w:pPr>
            <w:r>
              <w:rPr>
                <w:rFonts w:ascii="Times New Roman" w:hAnsi="Times New Roman"/>
                <w:sz w:val="20"/>
              </w:rPr>
              <w:t>Тот же orderId; повторного списания нет</w:t>
            </w:r>
          </w:p>
        </w:tc>
        <w:tc>
          <w:tcPr>
            <w:tcW w:type="dxa" w:w="2665"/>
            <w:vAlign w:val="center"/>
          </w:tcPr>
          <w:p>
            <w:pPr>
              <w:spacing w:line="240" w:lineRule="auto" w:after="40"/>
              <w:ind w:firstLine="0"/>
            </w:pPr>
            <w:r>
              <w:rPr>
                <w:rFonts w:ascii="Times New Roman" w:hAnsi="Times New Roman"/>
                <w:sz w:val="20"/>
              </w:rPr>
              <w:t>Пройдено; тест test_idempotent_replay_returns_existing_order</w:t>
            </w:r>
          </w:p>
        </w:tc>
      </w:tr>
      <w:tr>
        <w:tc>
          <w:tcPr>
            <w:tcW w:type="dxa" w:w="624"/>
            <w:vAlign w:val="center"/>
          </w:tcPr>
          <w:p>
            <w:pPr>
              <w:spacing w:line="240" w:lineRule="auto" w:after="40"/>
              <w:ind w:firstLine="0"/>
            </w:pPr>
            <w:r>
              <w:rPr>
                <w:rFonts w:ascii="Times New Roman" w:hAnsi="Times New Roman"/>
                <w:sz w:val="20"/>
              </w:rPr>
              <w:t>T-05</w:t>
            </w:r>
          </w:p>
        </w:tc>
        <w:tc>
          <w:tcPr>
            <w:tcW w:type="dxa" w:w="2324"/>
            <w:vAlign w:val="center"/>
          </w:tcPr>
          <w:p>
            <w:pPr>
              <w:spacing w:line="240" w:lineRule="auto" w:after="40"/>
              <w:ind w:firstLine="0"/>
            </w:pPr>
            <w:r>
              <w:rPr>
                <w:rFonts w:ascii="Times New Roman" w:hAnsi="Times New Roman"/>
                <w:sz w:val="20"/>
              </w:rPr>
              <w:t>POST/GET: передача и чтение JSON</w:t>
            </w:r>
          </w:p>
        </w:tc>
        <w:tc>
          <w:tcPr>
            <w:tcW w:type="dxa" w:w="2891"/>
            <w:vAlign w:val="center"/>
          </w:tcPr>
          <w:p>
            <w:pPr>
              <w:spacing w:line="240" w:lineRule="auto" w:after="40"/>
              <w:ind w:firstLine="0"/>
            </w:pPr>
            <w:r>
              <w:rPr>
                <w:rFonts w:ascii="Times New Roman" w:hAnsi="Times New Roman"/>
                <w:sz w:val="20"/>
              </w:rPr>
              <w:t>201/200; тот же orderId, позиции и сумма</w:t>
            </w:r>
          </w:p>
        </w:tc>
        <w:tc>
          <w:tcPr>
            <w:tcW w:type="dxa" w:w="2665"/>
            <w:vAlign w:val="center"/>
          </w:tcPr>
          <w:p>
            <w:pPr>
              <w:spacing w:line="240" w:lineRule="auto" w:after="40"/>
              <w:ind w:firstLine="0"/>
            </w:pPr>
            <w:r>
              <w:rPr>
                <w:rFonts w:ascii="Times New Roman" w:hAnsi="Times New Roman"/>
                <w:sz w:val="20"/>
              </w:rPr>
              <w:t>Пройдено; test_http_json_round_trip_and_idempotent_replay</w:t>
            </w:r>
          </w:p>
        </w:tc>
      </w:tr>
      <w:tr>
        <w:tc>
          <w:tcPr>
            <w:tcW w:type="dxa" w:w="624"/>
            <w:vAlign w:val="center"/>
          </w:tcPr>
          <w:p>
            <w:pPr>
              <w:spacing w:line="240" w:lineRule="auto" w:after="40"/>
              <w:ind w:firstLine="0"/>
            </w:pPr>
            <w:r>
              <w:rPr>
                <w:rFonts w:ascii="Times New Roman" w:hAnsi="Times New Roman"/>
                <w:sz w:val="20"/>
              </w:rPr>
              <w:t>T-06</w:t>
            </w:r>
          </w:p>
        </w:tc>
        <w:tc>
          <w:tcPr>
            <w:tcW w:type="dxa" w:w="2324"/>
            <w:vAlign w:val="center"/>
          </w:tcPr>
          <w:p>
            <w:pPr>
              <w:spacing w:line="240" w:lineRule="auto" w:after="40"/>
              <w:ind w:firstLine="0"/>
            </w:pPr>
            <w:r>
              <w:rPr>
                <w:rFonts w:ascii="Times New Roman" w:hAnsi="Times New Roman"/>
                <w:sz w:val="20"/>
              </w:rPr>
              <w:t>HTTP-отказ при дефиците</w:t>
            </w:r>
          </w:p>
        </w:tc>
        <w:tc>
          <w:tcPr>
            <w:tcW w:type="dxa" w:w="2891"/>
            <w:vAlign w:val="center"/>
          </w:tcPr>
          <w:p>
            <w:pPr>
              <w:spacing w:line="240" w:lineRule="auto" w:after="40"/>
              <w:ind w:firstLine="0"/>
            </w:pPr>
            <w:r>
              <w:rPr>
                <w:rFonts w:ascii="Times New Roman" w:hAnsi="Times New Roman"/>
                <w:sz w:val="20"/>
              </w:rPr>
              <w:t>409; error.code = OUT_OF_STOCK</w:t>
            </w:r>
          </w:p>
        </w:tc>
        <w:tc>
          <w:tcPr>
            <w:tcW w:type="dxa" w:w="2665"/>
            <w:vAlign w:val="center"/>
          </w:tcPr>
          <w:p>
            <w:pPr>
              <w:spacing w:line="240" w:lineRule="auto" w:after="40"/>
              <w:ind w:firstLine="0"/>
            </w:pPr>
            <w:r>
              <w:rPr>
                <w:rFonts w:ascii="Times New Roman" w:hAnsi="Times New Roman"/>
                <w:sz w:val="20"/>
              </w:rPr>
              <w:t>Пройдено; test_http_stock_shortage_returns_json_error</w:t>
            </w:r>
          </w:p>
        </w:tc>
      </w:tr>
      <w:tr>
        <w:tc>
          <w:tcPr>
            <w:tcW w:type="dxa" w:w="624"/>
            <w:vAlign w:val="center"/>
          </w:tcPr>
          <w:p>
            <w:pPr>
              <w:spacing w:line="240" w:lineRule="auto" w:after="40"/>
              <w:ind w:firstLine="0"/>
            </w:pPr>
            <w:r>
              <w:rPr>
                <w:rFonts w:ascii="Times New Roman" w:hAnsi="Times New Roman"/>
                <w:sz w:val="20"/>
              </w:rPr>
              <w:t>T-07</w:t>
            </w:r>
          </w:p>
        </w:tc>
        <w:tc>
          <w:tcPr>
            <w:tcW w:type="dxa" w:w="2324"/>
            <w:vAlign w:val="center"/>
          </w:tcPr>
          <w:p>
            <w:pPr>
              <w:spacing w:line="240" w:lineRule="auto" w:after="40"/>
              <w:ind w:firstLine="0"/>
            </w:pPr>
            <w:r>
              <w:rPr>
                <w:rFonts w:ascii="Times New Roman" w:hAnsi="Times New Roman"/>
                <w:sz w:val="20"/>
              </w:rPr>
              <w:t>HTTP-отказ оплаты</w:t>
            </w:r>
          </w:p>
        </w:tc>
        <w:tc>
          <w:tcPr>
            <w:tcW w:type="dxa" w:w="2891"/>
            <w:vAlign w:val="center"/>
          </w:tcPr>
          <w:p>
            <w:pPr>
              <w:spacing w:line="240" w:lineRule="auto" w:after="40"/>
              <w:ind w:firstLine="0"/>
            </w:pPr>
            <w:r>
              <w:rPr>
                <w:rFonts w:ascii="Times New Roman" w:hAnsi="Times New Roman"/>
                <w:sz w:val="20"/>
              </w:rPr>
              <w:t>402; cancelled; остаток восстановлен</w:t>
            </w:r>
          </w:p>
        </w:tc>
        <w:tc>
          <w:tcPr>
            <w:tcW w:type="dxa" w:w="2665"/>
            <w:vAlign w:val="center"/>
          </w:tcPr>
          <w:p>
            <w:pPr>
              <w:spacing w:line="240" w:lineRule="auto" w:after="40"/>
              <w:ind w:firstLine="0"/>
            </w:pPr>
            <w:r>
              <w:rPr>
                <w:rFonts w:ascii="Times New Roman" w:hAnsi="Times New Roman"/>
                <w:sz w:val="20"/>
              </w:rPr>
              <w:t>Пройдено; test_http_payment_decline_returns_cancelled_order</w:t>
            </w:r>
          </w:p>
        </w:tc>
      </w:tr>
    </w:tbl>
    <w:p>
      <w:pPr>
        <w:spacing w:after="40"/>
      </w:pPr>
    </w:p>
    <w:p>
      <w:r>
        <w:t>Автоматизированные проверки запущены командой python -m unittest -v из каталога prototype. Все семь тестов завершились со статусом OK: четыре проверки бизнес-логики и три проверки HTTP/JSON. Подтверждены ответный контракт, идемпотентный повтор, чтение заказа, структурированная ошибка дефицита и восстановление остатка после отказа оплаты. Набор не оценивает отказ сети, конкурентную нагрузку, безопасность и производительность, поэтому не подтверждает промышленную готовность.</w:t>
      </w:r>
    </w:p>
    <w:p>
      <w:r>
        <w:br w:type="page"/>
      </w:r>
    </w:p>
    <w:p>
      <w:pPr>
        <w:pStyle w:val="Heading2"/>
        <w:ind w:firstLine="0"/>
      </w:pPr>
      <w:r>
        <w:t>4.2 ОГРАНИЧЕНИЯ ПРОТОТИПА И КРИТЕРИИ ГОТОВНОСТИ</w:t>
      </w:r>
    </w:p>
    <w:p>
      <w:r>
        <w:t>Прототип подтверждает корректность выбранной логики в одном процессе, но не является промышленной интеграционной платформой. SQLite обеспечивает локальную транзакцию, однако не моделирует конкурентный доступ нескольких экземпляров сервиса и распределённую фиксацию с внешней системой. Outbox показывает сохранение события, но реальная доставка и подтверждения брокера в приложении не настроены. Локальный CRM-консьюмер демонстрирует дедупликацию, но не работу с независимым сервисом.</w:t>
      </w:r>
    </w:p>
    <w:p>
      <w:r>
        <w:t>В реальном внедрении потребуется уточнить фактические API и модели данных, согласовать владельцев полей и правила резерва, настроить промышленную СУБД, брокер, TLS и аутентификацию. Необходимо определить тайм-ауты и лимиты повтора по каждому адаптеру, протестировать восстановление после обрыва сети, защитить endpoint от злоупотреблений и подготовить эксплуатационные инструкции. Также понадобится отдельная процедура управления версиями контрактов и мониторинг очередей.</w:t>
      </w:r>
    </w:p>
    <w:p>
      <w:r>
        <w:t>Критерием готовности учебного результата считается воспроизводимый запуск, наличие машиночитаемых контрактов, корректная обработка описанных бизнес-отказов, уникальный ключ идемпотентности и документирование границ модели. Критерием готовности промышленного решения станет успешное прохождение интеграционных и нагрузочных испытаний на согласованных стендах с реальными адаптерами и проверенным планом восстановления.</w:t>
      </w:r>
    </w:p>
    <w:tbl>
      <w:tblPr>
        <w:tblStyle w:val="TableGrid"/>
        <w:tblW w:type="auto" w:w="0"/>
        <w:jc w:val="center"/>
        <w:tblLook w:firstColumn="1" w:firstRow="1" w:lastColumn="0" w:lastRow="0" w:noHBand="0" w:noVBand="1" w:val="04A0"/>
      </w:tblPr>
      <w:tblGrid>
        <w:gridCol w:w="3230"/>
        <w:gridCol w:w="3230"/>
        <w:gridCol w:w="3230"/>
      </w:tblGrid>
      <w:tr>
        <w:tc>
          <w:tcPr>
            <w:tcW w:type="dxa" w:w="1701"/>
            <w:vAlign w:val="center"/>
            <w:shd w:fill="24476B"/>
          </w:tcPr>
          <w:p>
            <w:r>
              <w:rPr>
                <w:rFonts w:ascii="Times New Roman" w:hAnsi="Times New Roman"/>
                <w:b/>
                <w:color w:val="FFFFFF"/>
                <w:sz w:val="20"/>
              </w:rPr>
              <w:t>Область</w:t>
            </w:r>
          </w:p>
        </w:tc>
        <w:tc>
          <w:tcPr>
            <w:tcW w:type="dxa" w:w="3118"/>
            <w:vAlign w:val="center"/>
            <w:shd w:fill="24476B"/>
          </w:tcPr>
          <w:p>
            <w:r>
              <w:rPr>
                <w:rFonts w:ascii="Times New Roman" w:hAnsi="Times New Roman"/>
                <w:b/>
                <w:color w:val="FFFFFF"/>
                <w:sz w:val="20"/>
              </w:rPr>
              <w:t>В прототипе</w:t>
            </w:r>
          </w:p>
        </w:tc>
        <w:tc>
          <w:tcPr>
            <w:tcW w:type="dxa" w:w="3685"/>
            <w:vAlign w:val="center"/>
            <w:shd w:fill="24476B"/>
          </w:tcPr>
          <w:p>
            <w:r>
              <w:rPr>
                <w:rFonts w:ascii="Times New Roman" w:hAnsi="Times New Roman"/>
                <w:b/>
                <w:color w:val="FFFFFF"/>
                <w:sz w:val="20"/>
              </w:rPr>
              <w:t>Для промышленного перехода</w:t>
            </w:r>
          </w:p>
        </w:tc>
      </w:tr>
      <w:tr>
        <w:tc>
          <w:tcPr>
            <w:tcW w:type="dxa" w:w="1701"/>
            <w:vAlign w:val="center"/>
          </w:tcPr>
          <w:p>
            <w:pPr>
              <w:spacing w:line="240" w:lineRule="auto" w:after="40"/>
              <w:ind w:firstLine="0"/>
            </w:pPr>
            <w:r>
              <w:rPr>
                <w:rFonts w:ascii="Times New Roman" w:hAnsi="Times New Roman"/>
                <w:sz w:val="20"/>
              </w:rPr>
              <w:t>Транспорт</w:t>
            </w:r>
          </w:p>
        </w:tc>
        <w:tc>
          <w:tcPr>
            <w:tcW w:type="dxa" w:w="3118"/>
            <w:vAlign w:val="center"/>
          </w:tcPr>
          <w:p>
            <w:pPr>
              <w:spacing w:line="240" w:lineRule="auto" w:after="40"/>
              <w:ind w:firstLine="0"/>
            </w:pPr>
            <w:r>
              <w:rPr>
                <w:rFonts w:ascii="Times New Roman" w:hAnsi="Times New Roman"/>
                <w:sz w:val="20"/>
              </w:rPr>
              <w:t>Локальный HTTP, без TLS</w:t>
            </w:r>
          </w:p>
        </w:tc>
        <w:tc>
          <w:tcPr>
            <w:tcW w:type="dxa" w:w="3685"/>
            <w:vAlign w:val="center"/>
          </w:tcPr>
          <w:p>
            <w:pPr>
              <w:spacing w:line="240" w:lineRule="auto" w:after="40"/>
              <w:ind w:firstLine="0"/>
            </w:pPr>
            <w:r>
              <w:rPr>
                <w:rFonts w:ascii="Times New Roman" w:hAnsi="Times New Roman"/>
                <w:sz w:val="20"/>
              </w:rPr>
              <w:t>TLS, аутентификация, API Gateway</w:t>
            </w:r>
          </w:p>
        </w:tc>
      </w:tr>
      <w:tr>
        <w:tc>
          <w:tcPr>
            <w:tcW w:type="dxa" w:w="1701"/>
            <w:vAlign w:val="center"/>
          </w:tcPr>
          <w:p>
            <w:pPr>
              <w:spacing w:line="240" w:lineRule="auto" w:after="40"/>
              <w:ind w:firstLine="0"/>
            </w:pPr>
            <w:r>
              <w:rPr>
                <w:rFonts w:ascii="Times New Roman" w:hAnsi="Times New Roman"/>
                <w:sz w:val="20"/>
              </w:rPr>
              <w:t>Склад</w:t>
            </w:r>
          </w:p>
        </w:tc>
        <w:tc>
          <w:tcPr>
            <w:tcW w:type="dxa" w:w="3118"/>
            <w:vAlign w:val="center"/>
          </w:tcPr>
          <w:p>
            <w:pPr>
              <w:spacing w:line="240" w:lineRule="auto" w:after="40"/>
              <w:ind w:firstLine="0"/>
            </w:pPr>
            <w:r>
              <w:rPr>
                <w:rFonts w:ascii="Times New Roman" w:hAnsi="Times New Roman"/>
                <w:sz w:val="20"/>
              </w:rPr>
              <w:t>Таблица inventory в SQLite</w:t>
            </w:r>
          </w:p>
        </w:tc>
        <w:tc>
          <w:tcPr>
            <w:tcW w:type="dxa" w:w="3685"/>
            <w:vAlign w:val="center"/>
          </w:tcPr>
          <w:p>
            <w:pPr>
              <w:spacing w:line="240" w:lineRule="auto" w:after="40"/>
              <w:ind w:firstLine="0"/>
            </w:pPr>
            <w:r>
              <w:rPr>
                <w:rFonts w:ascii="Times New Roman" w:hAnsi="Times New Roman"/>
                <w:sz w:val="20"/>
              </w:rPr>
              <w:t>Адаптер к системе-источнику и договор резерва</w:t>
            </w:r>
          </w:p>
        </w:tc>
      </w:tr>
      <w:tr>
        <w:tc>
          <w:tcPr>
            <w:tcW w:type="dxa" w:w="1701"/>
            <w:vAlign w:val="center"/>
          </w:tcPr>
          <w:p>
            <w:pPr>
              <w:spacing w:line="240" w:lineRule="auto" w:after="40"/>
              <w:ind w:firstLine="0"/>
            </w:pPr>
            <w:r>
              <w:rPr>
                <w:rFonts w:ascii="Times New Roman" w:hAnsi="Times New Roman"/>
                <w:sz w:val="20"/>
              </w:rPr>
              <w:t>Оплата</w:t>
            </w:r>
          </w:p>
        </w:tc>
        <w:tc>
          <w:tcPr>
            <w:tcW w:type="dxa" w:w="3118"/>
            <w:vAlign w:val="center"/>
          </w:tcPr>
          <w:p>
            <w:pPr>
              <w:spacing w:line="240" w:lineRule="auto" w:after="40"/>
              <w:ind w:firstLine="0"/>
            </w:pPr>
            <w:r>
              <w:rPr>
                <w:rFonts w:ascii="Times New Roman" w:hAnsi="Times New Roman"/>
                <w:sz w:val="20"/>
              </w:rPr>
              <w:t>Имитация флагом</w:t>
            </w:r>
          </w:p>
        </w:tc>
        <w:tc>
          <w:tcPr>
            <w:tcW w:type="dxa" w:w="3685"/>
            <w:vAlign w:val="center"/>
          </w:tcPr>
          <w:p>
            <w:pPr>
              <w:spacing w:line="240" w:lineRule="auto" w:after="40"/>
              <w:ind w:firstLine="0"/>
            </w:pPr>
            <w:r>
              <w:rPr>
                <w:rFonts w:ascii="Times New Roman" w:hAnsi="Times New Roman"/>
                <w:sz w:val="20"/>
              </w:rPr>
              <w:t>Реальный шлюз, ключ операции, сверка статуса</w:t>
            </w:r>
          </w:p>
        </w:tc>
      </w:tr>
      <w:tr>
        <w:tc>
          <w:tcPr>
            <w:tcW w:type="dxa" w:w="1701"/>
            <w:vAlign w:val="center"/>
          </w:tcPr>
          <w:p>
            <w:pPr>
              <w:spacing w:line="240" w:lineRule="auto" w:after="40"/>
              <w:ind w:firstLine="0"/>
            </w:pPr>
            <w:r>
              <w:rPr>
                <w:rFonts w:ascii="Times New Roman" w:hAnsi="Times New Roman"/>
                <w:sz w:val="20"/>
              </w:rPr>
              <w:t>События</w:t>
            </w:r>
          </w:p>
        </w:tc>
        <w:tc>
          <w:tcPr>
            <w:tcW w:type="dxa" w:w="3118"/>
            <w:vAlign w:val="center"/>
          </w:tcPr>
          <w:p>
            <w:pPr>
              <w:spacing w:line="240" w:lineRule="auto" w:after="40"/>
              <w:ind w:firstLine="0"/>
            </w:pPr>
            <w:r>
              <w:rPr>
                <w:rFonts w:ascii="Times New Roman" w:hAnsi="Times New Roman"/>
                <w:sz w:val="20"/>
              </w:rPr>
              <w:t>SQLite outbox и локальный consumer</w:t>
            </w:r>
          </w:p>
        </w:tc>
        <w:tc>
          <w:tcPr>
            <w:tcW w:type="dxa" w:w="3685"/>
            <w:vAlign w:val="center"/>
          </w:tcPr>
          <w:p>
            <w:pPr>
              <w:spacing w:line="240" w:lineRule="auto" w:after="40"/>
              <w:ind w:firstLine="0"/>
            </w:pPr>
            <w:r>
              <w:rPr>
                <w:rFonts w:ascii="Times New Roman" w:hAnsi="Times New Roman"/>
                <w:sz w:val="20"/>
              </w:rPr>
              <w:t>Брокер, publisher confirms, retry/DLQ</w:t>
            </w:r>
          </w:p>
        </w:tc>
      </w:tr>
      <w:tr>
        <w:tc>
          <w:tcPr>
            <w:tcW w:type="dxa" w:w="1701"/>
            <w:vAlign w:val="center"/>
          </w:tcPr>
          <w:p>
            <w:pPr>
              <w:spacing w:line="240" w:lineRule="auto" w:after="40"/>
              <w:ind w:firstLine="0"/>
            </w:pPr>
            <w:r>
              <w:rPr>
                <w:rFonts w:ascii="Times New Roman" w:hAnsi="Times New Roman"/>
                <w:sz w:val="20"/>
              </w:rPr>
              <w:t>CRM</w:t>
            </w:r>
          </w:p>
        </w:tc>
        <w:tc>
          <w:tcPr>
            <w:tcW w:type="dxa" w:w="3118"/>
            <w:vAlign w:val="center"/>
          </w:tcPr>
          <w:p>
            <w:pPr>
              <w:spacing w:line="240" w:lineRule="auto" w:after="40"/>
              <w:ind w:firstLine="0"/>
            </w:pPr>
            <w:r>
              <w:rPr>
                <w:rFonts w:ascii="Times New Roman" w:hAnsi="Times New Roman"/>
                <w:sz w:val="20"/>
              </w:rPr>
              <w:t>Локальная таблица-проекция</w:t>
            </w:r>
          </w:p>
        </w:tc>
        <w:tc>
          <w:tcPr>
            <w:tcW w:type="dxa" w:w="3685"/>
            <w:vAlign w:val="center"/>
          </w:tcPr>
          <w:p>
            <w:pPr>
              <w:spacing w:line="240" w:lineRule="auto" w:after="40"/>
              <w:ind w:firstLine="0"/>
            </w:pPr>
            <w:r>
              <w:rPr>
                <w:rFonts w:ascii="Times New Roman" w:hAnsi="Times New Roman"/>
                <w:sz w:val="20"/>
              </w:rPr>
              <w:t>API CRM и подтверждение потребления</w:t>
            </w:r>
          </w:p>
        </w:tc>
      </w:tr>
      <w:tr>
        <w:tc>
          <w:tcPr>
            <w:tcW w:type="dxa" w:w="1701"/>
            <w:vAlign w:val="center"/>
          </w:tcPr>
          <w:p>
            <w:pPr>
              <w:spacing w:line="240" w:lineRule="auto" w:after="40"/>
              <w:ind w:firstLine="0"/>
            </w:pPr>
            <w:r>
              <w:rPr>
                <w:rFonts w:ascii="Times New Roman" w:hAnsi="Times New Roman"/>
                <w:sz w:val="20"/>
              </w:rPr>
              <w:t>Нагрузка</w:t>
            </w:r>
          </w:p>
        </w:tc>
        <w:tc>
          <w:tcPr>
            <w:tcW w:type="dxa" w:w="3118"/>
            <w:vAlign w:val="center"/>
          </w:tcPr>
          <w:p>
            <w:pPr>
              <w:spacing w:line="240" w:lineRule="auto" w:after="40"/>
              <w:ind w:firstLine="0"/>
            </w:pPr>
            <w:r>
              <w:rPr>
                <w:rFonts w:ascii="Times New Roman" w:hAnsi="Times New Roman"/>
                <w:sz w:val="20"/>
              </w:rPr>
              <w:t>Не измерялась</w:t>
            </w:r>
          </w:p>
        </w:tc>
        <w:tc>
          <w:tcPr>
            <w:tcW w:type="dxa" w:w="3685"/>
            <w:vAlign w:val="center"/>
          </w:tcPr>
          <w:p>
            <w:pPr>
              <w:spacing w:line="240" w:lineRule="auto" w:after="40"/>
              <w:ind w:firstLine="0"/>
            </w:pPr>
            <w:r>
              <w:rPr>
                <w:rFonts w:ascii="Times New Roman" w:hAnsi="Times New Roman"/>
                <w:sz w:val="20"/>
              </w:rPr>
              <w:t>Профиль нагрузки, SLA, HA и capacity planning</w:t>
            </w:r>
          </w:p>
        </w:tc>
      </w:tr>
    </w:tbl>
    <w:p>
      <w:pPr>
        <w:spacing w:after="40"/>
      </w:pPr>
    </w:p>
    <w:p>
      <w:r>
        <w:br w:type="page"/>
      </w:r>
    </w:p>
    <w:p>
      <w:pPr>
        <w:pStyle w:val="Heading2"/>
        <w:ind w:firstLine="0"/>
      </w:pPr>
      <w:r>
        <w:t>ЭКОНОМИЧЕСКАЯ ОЦЕНКА И ЭФФЕКТ</w:t>
      </w:r>
    </w:p>
    <w:p>
      <w:r>
        <w:t>Количественная оценка требует исходных данных предприятия: числа заказов, доли ручных сверок, средней длительности разбора ошибки, стоимости рабочего часа и бюджета эксплуатации платформы. Эти значения не приведены в исходном задании, поэтому окупаемость в работе не рассчитывается и не заявляется. Эффект рассматривается качественно и через метрики, которые следует собирать в пилоте.</w:t>
      </w:r>
    </w:p>
    <w:p>
      <w:r>
        <w:t>Ожидаемые организационные улучшения связаны с единым журналом обработки, снижением числа повторных заказов после тайм-аута, более быстрым обнаружением рассинхронизации и уменьшением ручного сопоставления статусов. Появление независимого потребителя событий позволяет подключать последующие системы без изменения веб-витрины, если новый потребитель использует опубликованный контракт.</w:t>
      </w:r>
    </w:p>
    <w:p>
      <w:r>
        <w:t>Для оценки пилота предлагается измерять долю заказов, завершившихся без ручного вмешательства; долю повторно доставленных событий; время от подтверждения заказа до обновления CRM; количество сообщений в DLQ; долю отказов из-за нехватки остатка и платежа. Сравнение проводится до и после внедрения на сопоставимой группе заказов. Определение целевых порогов должно быть согласовано с владельцами процесса, иначе показатели будут описательными, но не критериями успеха.</w:t>
      </w:r>
    </w:p>
    <w:tbl>
      <w:tblPr>
        <w:tblStyle w:val="TableGrid"/>
        <w:tblW w:type="auto" w:w="0"/>
        <w:jc w:val="center"/>
        <w:tblLook w:firstColumn="1" w:firstRow="1" w:lastColumn="0" w:lastRow="0" w:noHBand="0" w:noVBand="1" w:val="04A0"/>
      </w:tblPr>
      <w:tblGrid>
        <w:gridCol w:w="3230"/>
        <w:gridCol w:w="3230"/>
        <w:gridCol w:w="3230"/>
      </w:tblGrid>
      <w:tr>
        <w:tc>
          <w:tcPr>
            <w:tcW w:type="dxa" w:w="1984"/>
            <w:vAlign w:val="center"/>
            <w:shd w:fill="24476B"/>
          </w:tcPr>
          <w:p>
            <w:r>
              <w:rPr>
                <w:rFonts w:ascii="Times New Roman" w:hAnsi="Times New Roman"/>
                <w:b/>
                <w:color w:val="FFFFFF"/>
                <w:sz w:val="20"/>
              </w:rPr>
              <w:t>Метрика пилота</w:t>
            </w:r>
          </w:p>
        </w:tc>
        <w:tc>
          <w:tcPr>
            <w:tcW w:type="dxa" w:w="3118"/>
            <w:vAlign w:val="center"/>
            <w:shd w:fill="24476B"/>
          </w:tcPr>
          <w:p>
            <w:r>
              <w:rPr>
                <w:rFonts w:ascii="Times New Roman" w:hAnsi="Times New Roman"/>
                <w:b/>
                <w:color w:val="FFFFFF"/>
                <w:sz w:val="20"/>
              </w:rPr>
              <w:t>Способ измерения</w:t>
            </w:r>
          </w:p>
        </w:tc>
        <w:tc>
          <w:tcPr>
            <w:tcW w:type="dxa" w:w="3402"/>
            <w:vAlign w:val="center"/>
            <w:shd w:fill="24476B"/>
          </w:tcPr>
          <w:p>
            <w:r>
              <w:rPr>
                <w:rFonts w:ascii="Times New Roman" w:hAnsi="Times New Roman"/>
                <w:b/>
                <w:color w:val="FFFFFF"/>
                <w:sz w:val="20"/>
              </w:rPr>
              <w:t>Условие интерпретации</w:t>
            </w:r>
          </w:p>
        </w:tc>
      </w:tr>
      <w:tr>
        <w:tc>
          <w:tcPr>
            <w:tcW w:type="dxa" w:w="1984"/>
            <w:vAlign w:val="center"/>
          </w:tcPr>
          <w:p>
            <w:pPr>
              <w:spacing w:line="240" w:lineRule="auto" w:after="40"/>
              <w:ind w:firstLine="0"/>
            </w:pPr>
            <w:r>
              <w:rPr>
                <w:rFonts w:ascii="Times New Roman" w:hAnsi="Times New Roman"/>
                <w:sz w:val="20"/>
              </w:rPr>
              <w:t>Сквозной успех</w:t>
            </w:r>
          </w:p>
        </w:tc>
        <w:tc>
          <w:tcPr>
            <w:tcW w:type="dxa" w:w="3118"/>
            <w:vAlign w:val="center"/>
          </w:tcPr>
          <w:p>
            <w:pPr>
              <w:spacing w:line="240" w:lineRule="auto" w:after="40"/>
              <w:ind w:firstLine="0"/>
            </w:pPr>
            <w:r>
              <w:rPr>
                <w:rFonts w:ascii="Times New Roman" w:hAnsi="Times New Roman"/>
                <w:sz w:val="20"/>
              </w:rPr>
              <w:t>confirmed / все принятые заказы</w:t>
            </w:r>
          </w:p>
        </w:tc>
        <w:tc>
          <w:tcPr>
            <w:tcW w:type="dxa" w:w="3402"/>
            <w:vAlign w:val="center"/>
          </w:tcPr>
          <w:p>
            <w:pPr>
              <w:spacing w:line="240" w:lineRule="auto" w:after="40"/>
              <w:ind w:firstLine="0"/>
            </w:pPr>
            <w:r>
              <w:rPr>
                <w:rFonts w:ascii="Times New Roman" w:hAnsi="Times New Roman"/>
                <w:sz w:val="20"/>
              </w:rPr>
              <w:t>Разделять бизнес-отказы и технические ошибки</w:t>
            </w:r>
          </w:p>
        </w:tc>
      </w:tr>
      <w:tr>
        <w:tc>
          <w:tcPr>
            <w:tcW w:type="dxa" w:w="1984"/>
            <w:vAlign w:val="center"/>
          </w:tcPr>
          <w:p>
            <w:pPr>
              <w:spacing w:line="240" w:lineRule="auto" w:after="40"/>
              <w:ind w:firstLine="0"/>
            </w:pPr>
            <w:r>
              <w:rPr>
                <w:rFonts w:ascii="Times New Roman" w:hAnsi="Times New Roman"/>
                <w:sz w:val="20"/>
              </w:rPr>
              <w:t>Задержка CRM</w:t>
            </w:r>
          </w:p>
        </w:tc>
        <w:tc>
          <w:tcPr>
            <w:tcW w:type="dxa" w:w="3118"/>
            <w:vAlign w:val="center"/>
          </w:tcPr>
          <w:p>
            <w:pPr>
              <w:spacing w:line="240" w:lineRule="auto" w:after="40"/>
              <w:ind w:firstLine="0"/>
            </w:pPr>
            <w:r>
              <w:rPr>
                <w:rFonts w:ascii="Times New Roman" w:hAnsi="Times New Roman"/>
                <w:sz w:val="20"/>
              </w:rPr>
              <w:t>время CRM update минус occurredAt</w:t>
            </w:r>
          </w:p>
        </w:tc>
        <w:tc>
          <w:tcPr>
            <w:tcW w:type="dxa" w:w="3402"/>
            <w:vAlign w:val="center"/>
          </w:tcPr>
          <w:p>
            <w:pPr>
              <w:spacing w:line="240" w:lineRule="auto" w:after="40"/>
              <w:ind w:firstLine="0"/>
            </w:pPr>
            <w:r>
              <w:rPr>
                <w:rFonts w:ascii="Times New Roman" w:hAnsi="Times New Roman"/>
                <w:sz w:val="20"/>
              </w:rPr>
              <w:t>Рассматривать медиану и верхний перцентиль</w:t>
            </w:r>
          </w:p>
        </w:tc>
      </w:tr>
      <w:tr>
        <w:tc>
          <w:tcPr>
            <w:tcW w:type="dxa" w:w="1984"/>
            <w:vAlign w:val="center"/>
          </w:tcPr>
          <w:p>
            <w:pPr>
              <w:spacing w:line="240" w:lineRule="auto" w:after="40"/>
              <w:ind w:firstLine="0"/>
            </w:pPr>
            <w:r>
              <w:rPr>
                <w:rFonts w:ascii="Times New Roman" w:hAnsi="Times New Roman"/>
                <w:sz w:val="20"/>
              </w:rPr>
              <w:t>Повторные доставки</w:t>
            </w:r>
          </w:p>
        </w:tc>
        <w:tc>
          <w:tcPr>
            <w:tcW w:type="dxa" w:w="3118"/>
            <w:vAlign w:val="center"/>
          </w:tcPr>
          <w:p>
            <w:pPr>
              <w:spacing w:line="240" w:lineRule="auto" w:after="40"/>
              <w:ind w:firstLine="0"/>
            </w:pPr>
            <w:r>
              <w:rPr>
                <w:rFonts w:ascii="Times New Roman" w:hAnsi="Times New Roman"/>
                <w:sz w:val="20"/>
              </w:rPr>
              <w:t>число повторов / число событий</w:t>
            </w:r>
          </w:p>
        </w:tc>
        <w:tc>
          <w:tcPr>
            <w:tcW w:type="dxa" w:w="3402"/>
            <w:vAlign w:val="center"/>
          </w:tcPr>
          <w:p>
            <w:pPr>
              <w:spacing w:line="240" w:lineRule="auto" w:after="40"/>
              <w:ind w:firstLine="0"/>
            </w:pPr>
            <w:r>
              <w:rPr>
                <w:rFonts w:ascii="Times New Roman" w:hAnsi="Times New Roman"/>
                <w:sz w:val="20"/>
              </w:rPr>
              <w:t>Рост может указывать на нестабильность потребителя</w:t>
            </w:r>
          </w:p>
        </w:tc>
      </w:tr>
      <w:tr>
        <w:tc>
          <w:tcPr>
            <w:tcW w:type="dxa" w:w="1984"/>
            <w:vAlign w:val="center"/>
          </w:tcPr>
          <w:p>
            <w:pPr>
              <w:spacing w:line="240" w:lineRule="auto" w:after="40"/>
              <w:ind w:firstLine="0"/>
            </w:pPr>
            <w:r>
              <w:rPr>
                <w:rFonts w:ascii="Times New Roman" w:hAnsi="Times New Roman"/>
                <w:sz w:val="20"/>
              </w:rPr>
              <w:t>Ручная обработка</w:t>
            </w:r>
          </w:p>
        </w:tc>
        <w:tc>
          <w:tcPr>
            <w:tcW w:type="dxa" w:w="3118"/>
            <w:vAlign w:val="center"/>
          </w:tcPr>
          <w:p>
            <w:pPr>
              <w:spacing w:line="240" w:lineRule="auto" w:after="40"/>
              <w:ind w:firstLine="0"/>
            </w:pPr>
            <w:r>
              <w:rPr>
                <w:rFonts w:ascii="Times New Roman" w:hAnsi="Times New Roman"/>
                <w:sz w:val="20"/>
              </w:rPr>
              <w:t>заказы с обращением оператора / все заказы</w:t>
            </w:r>
          </w:p>
        </w:tc>
        <w:tc>
          <w:tcPr>
            <w:tcW w:type="dxa" w:w="3402"/>
            <w:vAlign w:val="center"/>
          </w:tcPr>
          <w:p>
            <w:pPr>
              <w:spacing w:line="240" w:lineRule="auto" w:after="40"/>
              <w:ind w:firstLine="0"/>
            </w:pPr>
            <w:r>
              <w:rPr>
                <w:rFonts w:ascii="Times New Roman" w:hAnsi="Times New Roman"/>
                <w:sz w:val="20"/>
              </w:rPr>
              <w:t>Сравнить до и после пилота</w:t>
            </w:r>
          </w:p>
        </w:tc>
      </w:tr>
      <w:tr>
        <w:tc>
          <w:tcPr>
            <w:tcW w:type="dxa" w:w="1984"/>
            <w:vAlign w:val="center"/>
          </w:tcPr>
          <w:p>
            <w:pPr>
              <w:spacing w:line="240" w:lineRule="auto" w:after="40"/>
              <w:ind w:firstLine="0"/>
            </w:pPr>
            <w:r>
              <w:rPr>
                <w:rFonts w:ascii="Times New Roman" w:hAnsi="Times New Roman"/>
                <w:sz w:val="20"/>
              </w:rPr>
              <w:t>DLQ</w:t>
            </w:r>
          </w:p>
        </w:tc>
        <w:tc>
          <w:tcPr>
            <w:tcW w:type="dxa" w:w="3118"/>
            <w:vAlign w:val="center"/>
          </w:tcPr>
          <w:p>
            <w:pPr>
              <w:spacing w:line="240" w:lineRule="auto" w:after="40"/>
              <w:ind w:firstLine="0"/>
            </w:pPr>
            <w:r>
              <w:rPr>
                <w:rFonts w:ascii="Times New Roman" w:hAnsi="Times New Roman"/>
                <w:sz w:val="20"/>
              </w:rPr>
              <w:t>число событий и возраст старейшего</w:t>
            </w:r>
          </w:p>
        </w:tc>
        <w:tc>
          <w:tcPr>
            <w:tcW w:type="dxa" w:w="3402"/>
            <w:vAlign w:val="center"/>
          </w:tcPr>
          <w:p>
            <w:pPr>
              <w:spacing w:line="240" w:lineRule="auto" w:after="40"/>
              <w:ind w:firstLine="0"/>
            </w:pPr>
            <w:r>
              <w:rPr>
                <w:rFonts w:ascii="Times New Roman" w:hAnsi="Times New Roman"/>
                <w:sz w:val="20"/>
              </w:rPr>
              <w:t>Сигнал для операционного реагирования</w:t>
            </w:r>
          </w:p>
        </w:tc>
      </w:tr>
    </w:tbl>
    <w:p>
      <w:pPr>
        <w:spacing w:after="40"/>
      </w:pPr>
    </w:p>
    <w:p>
      <w:r>
        <w:br w:type="page"/>
      </w:r>
    </w:p>
    <w:p>
      <w:pPr>
        <w:pStyle w:val="Heading1"/>
        <w:ind w:firstLine="0"/>
      </w:pPr>
      <w:r>
        <w:t>ЗАКЛЮЧЕНИЕ</w:t>
      </w:r>
    </w:p>
    <w:p>
      <w:r>
        <w:t>В курсовом проекте разработана архитектура интеграционного решения для условного интернет-магазина и реализован демонстрационный прототип. В ходе анализа выделены участники сквозного процесса, владельцы ключевых данных и проблемы, связанные с повторной передачей, отказом оплаты и несогласованностью статусов. Сформированы функциональные и нефункциональные требования, описывающие валидацию заказа, резервирование, идемпотентность и обработку событий.</w:t>
      </w:r>
    </w:p>
    <w:p>
      <w:r>
        <w:t>Выбран гибридный стиль интеграции: синхронный REST/JSON используется для команды оформления и ответа клиенту, а событийный интерфейс — для доставки факта подтверждения независимым потребителям. Такое решение соответствует структуре сценария: наличие и платеж влияют на непосредственный результат заказа, а обновление CRM допускает небольшую асинхронную задержку. Для проекта разработаны JSON Schema событий и AsyncAPI-описание каналов.</w:t>
      </w:r>
    </w:p>
    <w:p>
      <w:r>
        <w:t>Прототип на Python и SQLite демонстрирует проверку остатков, отказ при недостаточном количестве, отмену заказа и восстановление резерва при отказе платежа, защиту от повторного запроса и обновление CRM-проекции из outbox-события. Все семь автоматизированных проверок завершились успешно, включая три HTTP/JSON проверки передачи, чтения и обработки отказов. Прототип не измеряет промышленную производительность и не заменяет реальную брокерную инфраструктуру или адаптеры систем предприятия.</w:t>
      </w:r>
    </w:p>
    <w:p>
      <w:r>
        <w:t>Дальнейшее развитие следует начинать с обследования фактических систем и согласования контрактов с владельцами данных. Затем необходимо заменить учебные адаптеры на подключения к складской системе, платежному провайдеру и CRM, развернуть устойчивый брокер, добавить контроль доступа, TLS, метрики и DLQ. После этого проводится интеграционное и нагрузочное тестирование, пилот на ограниченном потоке и оценка эффекта по метрикам. Экономический результат можно рассчитать только после сбора базовых данных.</w:t>
      </w:r>
    </w:p>
    <w:p>
      <w:r>
        <w:br w:type="page"/>
      </w:r>
    </w:p>
    <w:p>
      <w:pPr>
        <w:pStyle w:val="Heading1"/>
        <w:ind w:firstLine="0"/>
      </w:pPr>
      <w:r>
        <w:t>СПИСОК ИСПОЛЬЗОВАННЫХ ИСТОЧНИКОВ</w:t>
      </w:r>
    </w:p>
    <w:p>
      <w:pPr>
        <w:spacing w:line="276" w:lineRule="auto" w:after="100"/>
        <w:ind w:left="0" w:firstLine="0"/>
      </w:pPr>
      <w:r>
        <w:t>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URL: https://www.gasu.ru/science/otdel-nti/gosudarstvennaya-registratsiya-nioktr/gost_7.32_2017.pdf (дата обращения: 28.10.2026).</w:t>
      </w:r>
    </w:p>
    <w:p>
      <w:pPr>
        <w:spacing w:line="276" w:lineRule="auto" w:after="100"/>
        <w:ind w:left="0" w:firstLine="0"/>
      </w:pPr>
      <w:r>
        <w:t>2. AsyncAPI Initiative. AsyncAPI Specification, Version 3.0.0. — URL: https://www.asyncapi.com/docs/reference/specification/v3.0.0 (дата обращения: 28.10.2026).</w:t>
      </w:r>
    </w:p>
    <w:p>
      <w:pPr>
        <w:spacing w:line="276" w:lineRule="auto" w:after="100"/>
        <w:ind w:left="0" w:firstLine="0"/>
      </w:pPr>
      <w:r>
        <w:t>3. Python Software Foundation. sqlite3 — DB-API 2.0 interface for SQLite databases. — URL: https://docs.python.org/3/library/sqlite3.html (дата обращения: 28.10.2026).</w:t>
      </w:r>
    </w:p>
    <w:p>
      <w:pPr>
        <w:spacing w:line="276" w:lineRule="auto" w:after="100"/>
        <w:ind w:left="0" w:firstLine="0"/>
      </w:pPr>
      <w:r>
        <w:t>4. Richardson C. Microservices Patterns: With examples in Java. — Shelter Island: Manning Publications, 2018. — Разделы об orchestration saga и transactional outbox.</w:t>
      </w:r>
    </w:p>
    <w:p>
      <w:pPr>
        <w:spacing w:line="276" w:lineRule="auto" w:after="100"/>
        <w:ind w:left="0" w:firstLine="0"/>
      </w:pPr>
      <w:r>
        <w:t>5. Hohpe G., Woolf B. Enterprise Integration Patterns: Designing, Building, and Deploying Messaging Solutions. — Boston: Addison-Wesley, 2003.</w:t>
      </w:r>
    </w:p>
    <w:p>
      <w:pPr>
        <w:spacing w:line="276" w:lineRule="auto" w:after="100"/>
        <w:ind w:left="0" w:firstLine="0"/>
      </w:pPr>
      <w:r>
        <w:t>6. Kleppmann M. Designing Data-Intensive Applications. — Sebastopol: O’Reilly Media, 2017. — Разделы о сообщениях, повторной доставке и согласованности данных.</w:t>
      </w:r>
    </w:p>
    <w:p>
      <w:pPr>
        <w:spacing w:line="276" w:lineRule="auto" w:after="100"/>
        <w:ind w:left="0" w:firstLine="0"/>
      </w:pPr>
      <w:r>
        <w:t>7. JSON Schema. JSON Schema: A Media Type for Describing JSON Documents. Draft 2020-12. — URL: https://json-schema.org/draft/2020-12 (дата обращения: 28.10.2026).</w:t>
      </w:r>
    </w:p>
    <w:p>
      <w:pPr>
        <w:spacing w:line="276" w:lineRule="auto" w:after="100"/>
        <w:ind w:left="0" w:firstLine="0"/>
      </w:pPr>
      <w:r>
        <w:t>8. Fielding R. T. Architectural Styles and the Design of Network-based Software Architectures: doctoral dissertation. — University of California, Irvine, 2000. — URL: https://www.ics.uci.edu/~fielding/pubs/dissertation/top.htm (дата обращения: 28.10.2026).</w:t>
      </w:r>
    </w:p>
    <w:p>
      <w:pPr>
        <w:spacing w:line="276" w:lineRule="auto" w:after="100"/>
        <w:ind w:left="0" w:firstLine="0"/>
      </w:pPr>
      <w:r>
        <w:t>9. Исходное задание на курсовой проект «Разработка интеграционного решения для взаимодействия информационных систем предприятия», предоставленное студентом.</w:t>
      </w:r>
    </w:p>
    <w:p>
      <w:pPr>
        <w:spacing w:line="276" w:lineRule="auto" w:after="100"/>
        <w:ind w:left="0" w:firstLine="0"/>
      </w:pPr>
      <w:r>
        <w:t>10. RabbitMQ. Consumer Acknowledgements and Publisher Confirms. — URL: https://www.rabbitmq.com/docs/confirms (дата обращения: 28.10.2026).</w:t>
      </w:r>
    </w:p>
    <w:p>
      <w:pPr>
        <w:spacing w:line="276" w:lineRule="auto" w:after="100"/>
        <w:ind w:left="0" w:firstLine="0"/>
      </w:pPr>
      <w:r>
        <w:t>11. Apache Kafka. Introduction. — URL: https://kafka.apache.org/intro/ (дата обращения: 28.10.2026).</w:t>
      </w:r>
    </w:p>
    <w:p>
      <w:pPr>
        <w:spacing w:line="276" w:lineRule="auto" w:after="100"/>
        <w:ind w:left="0" w:firstLine="0"/>
      </w:pPr>
      <w:r>
        <w:t>12. Apache Camel. User Manual. — URL: https://camel.apache.org/manual/ (дата обращения: 28.10.2026).</w:t>
      </w:r>
    </w:p>
    <w:p>
      <w:r>
        <w:br w:type="page"/>
      </w:r>
    </w:p>
    <w:p>
      <w:pPr>
        <w:pStyle w:val="Heading1"/>
        <w:ind w:firstLine="0"/>
      </w:pPr>
      <w:r>
        <w:t>ПРИЛОЖЕНИЕ А. ЗАПУСК ПРОТОТИПА</w:t>
      </w:r>
    </w:p>
    <w:p>
      <w:r>
        <w:t>Требования: Python версии 3.10 или новее. Зависимости устанавливать не требуется, поскольку приложение использует стандартную библиотеку. Перейдите в каталог prototype и выполните python app.py. После запуска проверьте GET http://127.0.0.1:8080/health, затем отправьте POST /orders с заголовком Idempotency-Key и JSON-телом из README.</w:t>
      </w:r>
    </w:p>
    <w:p>
      <w:r>
        <w:t>Проверки выполняются командой python -m unittest -v. Для сценария нехватки передайте количество больше остатка доступного SKU. Для отказа платежа задайте paymentApproved:false. Для повторной доставки сохраните прежнее значение заголовка Idempotency-Key. База по умолчанию называется integration.db; её можно направить в иной файл через переменную окружения INTEGRATION_DB.</w:t>
      </w:r>
    </w:p>
    <w:p>
      <w:r>
        <w:t>Коды начальных остатков и демонстрационные цены находятся в инициализации inventory и таблице цен функции create_order. Изменение этих данных предназначено для локального учебного стенда. Перед демонстрацией необходимо удалить старую базу, если требуется начать показ с исходными остатками.</w:t>
      </w:r>
    </w:p>
    <w:sectPr w:rsidR="00FC693F" w:rsidRPr="0006063C" w:rsidSect="00034616">
      <w:footerReference w:type="default" r:id="rId9"/>
      <w:pgSz w:w="12240" w:h="15840"/>
      <w:pgMar w:top="1134" w:right="850"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ind w:firstLin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интеграционного решения для взаимодействия информационных систем предприятия</dc:title>
  <dc:subject>Курсовой проект: архитектура, прототип и проверка интеграции интернет-магазина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