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Methodenbeschreibung für die Bachelorarbeit</w:t>
      </w:r>
    </w:p>
    <w:p>
      <w:pPr>
        <w:jc w:val="center"/>
      </w:pPr>
      <w:r>
        <w:rPr>
          <w:b/>
          <w:sz w:val="28"/>
        </w:rPr>
        <w:t>Script 1: build_species_registry_improved.py</w:t>
      </w:r>
    </w:p>
    <w:p>
      <w:pPr>
        <w:jc w:val="center"/>
      </w:pPr>
      <w:r>
        <w:rPr>
          <w:i/>
          <w:sz w:val="20"/>
        </w:rPr>
        <w:t>Projekt: Annotation-aware comparative exon–domain analysis of FGFR2 orthologs</w:t>
      </w:r>
    </w:p>
    <w:p/>
    <w:p>
      <w:pPr>
        <w:pStyle w:val="Heading1"/>
      </w:pPr>
      <w:r>
        <w:t>1. Rolle des Scripts im Gesamtworkflow</w:t>
      </w:r>
    </w:p>
    <w:p>
      <w:pPr>
        <w:spacing w:after="120"/>
      </w:pPr>
      <w:r>
        <w:t>Das Script build_species_registry_improved.py bildet den ersten methodischen Schritt der Pipeline. Es erzeugt aus einer einfachen Species-Liste eine standardisierte Species Registry, die als kontrollierte Referenztabelle für alle nachfolgenden Schritte dient. Die Registry verknüpft die im Projekt verwendeten Artnamen mit stabilen internen IDs, datenbankspezifischen Namen für Ensembl und NCBI, NCBI Taxonomy IDs, groben phylogenetischen Gruppen sowie Informationen zur bevorzugten Datenquelle und Assembly-Auswahl. Dadurch werden spätere Abfragen nach FGFR2-Orthologen, Transkripten, CDS-Strukturen und Proteinsequenzen auf eine einheitliche Grundlage gestellt.</w:t>
      </w:r>
    </w:p>
    <w:p>
      <w:pPr>
        <w:pStyle w:val="Heading1"/>
      </w:pPr>
      <w:r>
        <w:t>2. Wissenschaftliche Begründung</w:t>
      </w:r>
    </w:p>
    <w:p>
      <w:pPr>
        <w:spacing w:after="120"/>
      </w:pPr>
      <w:r>
        <w:t>Vergleichende Genom- und Transkriptanalysen hängen stark von konsistenten Organismenbezeichnungen, Taxonomie-IDs und datenbankspezifischen Namenskonventionen ab. NCBI Taxonomy stellt eine zentrale, kuratierte Klassifikation und Nomenklatur für Organismen in öffentlichen Sequenzdatenbanken bereit und wird häufig als organisatorische Grundlage für Sequenzressourcen verwendet (Federhen, 2012; Schoch et al., 2020). Ensembl ist eine zentrale Ressource für Genomannotation und vergleichende Genomik und stellt datenbankspezifische Species-Schlüssel sowie programmatische Zugänge zu Genom- und Annotationseinträgen bereit (Harrison et al., 2024; Dyer et al., 2025). Für eine reproduzierbare Pipeline ist es daher sinnvoll, diese Identifier und Namenskonventionen nicht in jedem Analyseschritt neu zu erzeugen, sondern am Anfang in einer expliziten Registry zu dokumentieren.</w:t>
      </w:r>
    </w:p>
    <w:p>
      <w:pPr>
        <w:spacing w:after="120"/>
      </w:pPr>
      <w:r>
        <w:t>Der Ansatz entspricht außerdem den FAIR-Prinzipien für wissenschaftliches Datenmanagement. Diese betonen maschinenlesbare Metadaten, eindeutige Identifikatoren, Interoperabilität und Wiederverwendbarkeit wissenschaftlicher Daten (Wilkinson et al., 2016). Die Species Registry erfüllt genau diese Funktion innerhalb der Pipeline: Sie macht den Input maschinenlesbar, dokumentiert Identifier und Datenquellen und markiert Fälle, in denen eine manuelle Überprüfung notwendig ist.</w:t>
      </w:r>
    </w:p>
    <w:p>
      <w:pPr>
        <w:pStyle w:val="Heading1"/>
      </w:pPr>
      <w:r>
        <w:t>3. Input</w:t>
      </w:r>
    </w:p>
    <w:p>
      <w:pPr>
        <w:spacing w:after="120"/>
      </w:pPr>
      <w:r>
        <w:t>Der Input des Scripts ist eine Textdatei mit einer Species pro Zeile. Leere Zeilen sowie Kommentare nach dem Zeichen # werden ignoriert. Dadurch kann die Eingangsliste sowohl maschinenlesbar als auch für Menschen kommentierbar bleiben. Beispiel:</w:t>
      </w:r>
    </w:p>
    <w:p>
      <w:pPr>
        <w:spacing w:after="120"/>
      </w:pPr>
      <w:r>
        <w:t>Homo sapiens</w:t>
        <w:br/>
        <w:t>Mus musculus</w:t>
        <w:br/>
        <w:t>Gallus gallus  # bird reference</w:t>
        <w:br/>
        <w:t>Danio rerio</w:t>
      </w:r>
    </w:p>
    <w:p>
      <w:pPr>
        <w:pStyle w:val="Heading1"/>
      </w:pPr>
      <w:r>
        <w:t>4. Output</w:t>
      </w:r>
    </w:p>
    <w:p>
      <w:pPr>
        <w:spacing w:after="120"/>
      </w:pPr>
      <w:r>
        <w:t>Das Script schreibt zwei tabulatorgetrennte Dateien in das angegebene Output-Verzeichnis: species_registry.tsv und species_registry_warnings.tsv. Die erste Datei enthält die kontrollierte Species Registry, die zweite Datei dokumentiert Warnungen, zum Beispiel unbekannte oder doppelte Species-Einträge.</w:t>
      </w:r>
    </w:p>
    <w:p>
      <w:pPr>
        <w:pStyle w:val="Heading1"/>
      </w:pPr>
      <w:r>
        <w:t>5. Output-Schema der Species Registry</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
              <w:rPr>
                <w:b/>
              </w:rPr>
              <w:t>Spalte</w:t>
            </w:r>
          </w:p>
        </w:tc>
        <w:tc>
          <w:tcPr>
            <w:tcW w:type="dxa" w:w="3312"/>
            <w:shd w:fill="D9EAF7"/>
          </w:tcPr>
          <w:p>
            <w:r/>
            <w:r>
              <w:rPr>
                <w:b/>
              </w:rPr>
              <w:t>Bedeutung</w:t>
            </w:r>
          </w:p>
        </w:tc>
        <w:tc>
          <w:tcPr>
            <w:tcW w:type="dxa" w:w="3312"/>
            <w:shd w:fill="D9EAF7"/>
          </w:tcPr>
          <w:p>
            <w:r/>
            <w:r>
              <w:rPr>
                <w:b/>
              </w:rPr>
              <w:t>Methodische Relevanz</w:t>
            </w:r>
          </w:p>
        </w:tc>
      </w:tr>
      <w:tr>
        <w:tc>
          <w:tcPr>
            <w:tcW w:type="dxa" w:w="3312"/>
            <w:vAlign w:val="top"/>
          </w:tcPr>
          <w:p>
            <w:r/>
            <w:r>
              <w:rPr>
                <w:b w:val="0"/>
              </w:rPr>
              <w:t>species_id</w:t>
            </w:r>
          </w:p>
        </w:tc>
        <w:tc>
          <w:tcPr>
            <w:tcW w:type="dxa" w:w="3312"/>
            <w:vAlign w:val="top"/>
          </w:tcPr>
          <w:p>
            <w:r/>
            <w:r>
              <w:rPr>
                <w:b w:val="0"/>
              </w:rPr>
              <w:t>Stabile interne ID, z. B. homo_sapiens.</w:t>
            </w:r>
          </w:p>
        </w:tc>
        <w:tc>
          <w:tcPr>
            <w:tcW w:type="dxa" w:w="3312"/>
            <w:vAlign w:val="top"/>
          </w:tcPr>
          <w:p>
            <w:r/>
            <w:r>
              <w:rPr>
                <w:b w:val="0"/>
              </w:rPr>
              <w:t>Erlaubt robuste Dateinamen, Joins und Pipeline-Verknüpfungen.</w:t>
            </w:r>
          </w:p>
        </w:tc>
      </w:tr>
      <w:tr>
        <w:tc>
          <w:tcPr>
            <w:tcW w:type="dxa" w:w="3312"/>
            <w:vAlign w:val="top"/>
          </w:tcPr>
          <w:p>
            <w:r/>
            <w:r>
              <w:rPr>
                <w:b w:val="0"/>
              </w:rPr>
              <w:t>input_name</w:t>
            </w:r>
          </w:p>
        </w:tc>
        <w:tc>
          <w:tcPr>
            <w:tcW w:type="dxa" w:w="3312"/>
            <w:vAlign w:val="top"/>
          </w:tcPr>
          <w:p>
            <w:r/>
            <w:r>
              <w:rPr>
                <w:b w:val="0"/>
              </w:rPr>
              <w:t>Originaler Name aus der Species-Liste.</w:t>
            </w:r>
          </w:p>
        </w:tc>
        <w:tc>
          <w:tcPr>
            <w:tcW w:type="dxa" w:w="3312"/>
            <w:vAlign w:val="top"/>
          </w:tcPr>
          <w:p>
            <w:r/>
            <w:r>
              <w:rPr>
                <w:b w:val="0"/>
              </w:rPr>
              <w:t>Erhält die Rückverfolgbarkeit zum ursprünglichen Input.</w:t>
            </w:r>
          </w:p>
        </w:tc>
      </w:tr>
      <w:tr>
        <w:tc>
          <w:tcPr>
            <w:tcW w:type="dxa" w:w="3312"/>
            <w:vAlign w:val="top"/>
          </w:tcPr>
          <w:p>
            <w:r/>
            <w:r>
              <w:rPr>
                <w:b w:val="0"/>
              </w:rPr>
              <w:t>scientific_name</w:t>
            </w:r>
          </w:p>
        </w:tc>
        <w:tc>
          <w:tcPr>
            <w:tcW w:type="dxa" w:w="3312"/>
            <w:vAlign w:val="top"/>
          </w:tcPr>
          <w:p>
            <w:r/>
            <w:r>
              <w:rPr>
                <w:b w:val="0"/>
              </w:rPr>
              <w:t>Normalisierter wissenschaftlicher Name.</w:t>
            </w:r>
          </w:p>
        </w:tc>
        <w:tc>
          <w:tcPr>
            <w:tcW w:type="dxa" w:w="3312"/>
            <w:vAlign w:val="top"/>
          </w:tcPr>
          <w:p>
            <w:r/>
            <w:r>
              <w:rPr>
                <w:b w:val="0"/>
              </w:rPr>
              <w:t>Zentrale biologische Bezeichnung für Berichte und Plots.</w:t>
            </w:r>
          </w:p>
        </w:tc>
      </w:tr>
      <w:tr>
        <w:tc>
          <w:tcPr>
            <w:tcW w:type="dxa" w:w="3312"/>
            <w:vAlign w:val="top"/>
          </w:tcPr>
          <w:p>
            <w:r/>
            <w:r>
              <w:rPr>
                <w:b w:val="0"/>
              </w:rPr>
              <w:t>ensembl_species</w:t>
            </w:r>
          </w:p>
        </w:tc>
        <w:tc>
          <w:tcPr>
            <w:tcW w:type="dxa" w:w="3312"/>
            <w:vAlign w:val="top"/>
          </w:tcPr>
          <w:p>
            <w:r/>
            <w:r>
              <w:rPr>
                <w:b w:val="0"/>
              </w:rPr>
              <w:t>Ensembl-kompatibler Species-Schlüssel.</w:t>
            </w:r>
          </w:p>
        </w:tc>
        <w:tc>
          <w:tcPr>
            <w:tcW w:type="dxa" w:w="3312"/>
            <w:vAlign w:val="top"/>
          </w:tcPr>
          <w:p>
            <w:r/>
            <w:r>
              <w:rPr>
                <w:b w:val="0"/>
              </w:rPr>
              <w:t>Wichtig für spätere Ensembl-Abfragen und API-/FTP-Zugriffe.</w:t>
            </w:r>
          </w:p>
        </w:tc>
      </w:tr>
      <w:tr>
        <w:tc>
          <w:tcPr>
            <w:tcW w:type="dxa" w:w="3312"/>
            <w:vAlign w:val="top"/>
          </w:tcPr>
          <w:p>
            <w:r/>
            <w:r>
              <w:rPr>
                <w:b w:val="0"/>
              </w:rPr>
              <w:t>ncbi_species</w:t>
            </w:r>
          </w:p>
        </w:tc>
        <w:tc>
          <w:tcPr>
            <w:tcW w:type="dxa" w:w="3312"/>
            <w:vAlign w:val="top"/>
          </w:tcPr>
          <w:p>
            <w:r/>
            <w:r>
              <w:rPr>
                <w:b w:val="0"/>
              </w:rPr>
              <w:t>NCBI-kompatibler Species-Name.</w:t>
            </w:r>
          </w:p>
        </w:tc>
        <w:tc>
          <w:tcPr>
            <w:tcW w:type="dxa" w:w="3312"/>
            <w:vAlign w:val="top"/>
          </w:tcPr>
          <w:p>
            <w:r/>
            <w:r>
              <w:rPr>
                <w:b w:val="0"/>
              </w:rPr>
              <w:t>Wichtig für spätere NCBI-basierte Datensuche.</w:t>
            </w:r>
          </w:p>
        </w:tc>
      </w:tr>
      <w:tr>
        <w:tc>
          <w:tcPr>
            <w:tcW w:type="dxa" w:w="3312"/>
            <w:vAlign w:val="top"/>
          </w:tcPr>
          <w:p>
            <w:r/>
            <w:r>
              <w:rPr>
                <w:b w:val="0"/>
              </w:rPr>
              <w:t>taxid</w:t>
            </w:r>
          </w:p>
        </w:tc>
        <w:tc>
          <w:tcPr>
            <w:tcW w:type="dxa" w:w="3312"/>
            <w:vAlign w:val="top"/>
          </w:tcPr>
          <w:p>
            <w:r/>
            <w:r>
              <w:rPr>
                <w:b w:val="0"/>
              </w:rPr>
              <w:t>NCBI Taxonomy ID.</w:t>
            </w:r>
          </w:p>
        </w:tc>
        <w:tc>
          <w:tcPr>
            <w:tcW w:type="dxa" w:w="3312"/>
            <w:vAlign w:val="top"/>
          </w:tcPr>
          <w:p>
            <w:r/>
            <w:r>
              <w:rPr>
                <w:b w:val="0"/>
              </w:rPr>
              <w:t>Stabiler taxonomischer Identifier und zentrale Referenz für Organismen.</w:t>
            </w:r>
          </w:p>
        </w:tc>
      </w:tr>
      <w:tr>
        <w:tc>
          <w:tcPr>
            <w:tcW w:type="dxa" w:w="3312"/>
            <w:vAlign w:val="top"/>
          </w:tcPr>
          <w:p>
            <w:r/>
            <w:r>
              <w:rPr>
                <w:b w:val="0"/>
              </w:rPr>
              <w:t>common_name</w:t>
            </w:r>
          </w:p>
        </w:tc>
        <w:tc>
          <w:tcPr>
            <w:tcW w:type="dxa" w:w="3312"/>
            <w:vAlign w:val="top"/>
          </w:tcPr>
          <w:p>
            <w:r/>
            <w:r>
              <w:rPr>
                <w:b w:val="0"/>
              </w:rPr>
              <w:t>Allgemeiner Name, falls vorhanden.</w:t>
            </w:r>
          </w:p>
        </w:tc>
        <w:tc>
          <w:tcPr>
            <w:tcW w:type="dxa" w:w="3312"/>
            <w:vAlign w:val="top"/>
          </w:tcPr>
          <w:p>
            <w:r/>
            <w:r>
              <w:rPr>
                <w:b w:val="0"/>
              </w:rPr>
              <w:t>Hilfreich für Tabellen und Lesbarkeit, nicht primärer Identifier.</w:t>
            </w:r>
          </w:p>
        </w:tc>
      </w:tr>
      <w:tr>
        <w:tc>
          <w:tcPr>
            <w:tcW w:type="dxa" w:w="3312"/>
            <w:vAlign w:val="top"/>
          </w:tcPr>
          <w:p>
            <w:r/>
            <w:r>
              <w:rPr>
                <w:b w:val="0"/>
              </w:rPr>
              <w:t>clade</w:t>
            </w:r>
          </w:p>
        </w:tc>
        <w:tc>
          <w:tcPr>
            <w:tcW w:type="dxa" w:w="3312"/>
            <w:vAlign w:val="top"/>
          </w:tcPr>
          <w:p>
            <w:r/>
            <w:r>
              <w:rPr>
                <w:b w:val="0"/>
              </w:rPr>
              <w:t>Grobe Gruppe, z. B. mammal, bird, fish.</w:t>
            </w:r>
          </w:p>
        </w:tc>
        <w:tc>
          <w:tcPr>
            <w:tcW w:type="dxa" w:w="3312"/>
            <w:vAlign w:val="top"/>
          </w:tcPr>
          <w:p>
            <w:r/>
            <w:r>
              <w:rPr>
                <w:b w:val="0"/>
              </w:rPr>
              <w:t>Hilft bei vergleichenden Plots und biologischer Interpretation.</w:t>
            </w:r>
          </w:p>
        </w:tc>
      </w:tr>
      <w:tr>
        <w:tc>
          <w:tcPr>
            <w:tcW w:type="dxa" w:w="3312"/>
            <w:vAlign w:val="top"/>
          </w:tcPr>
          <w:p>
            <w:r/>
            <w:r>
              <w:rPr>
                <w:b w:val="0"/>
              </w:rPr>
              <w:t>preferred_source</w:t>
            </w:r>
          </w:p>
        </w:tc>
        <w:tc>
          <w:tcPr>
            <w:tcW w:type="dxa" w:w="3312"/>
            <w:vAlign w:val="top"/>
          </w:tcPr>
          <w:p>
            <w:r/>
            <w:r>
              <w:rPr>
                <w:b w:val="0"/>
              </w:rPr>
              <w:t>Standardisierte Priorität der Datenquelle.</w:t>
            </w:r>
          </w:p>
        </w:tc>
        <w:tc>
          <w:tcPr>
            <w:tcW w:type="dxa" w:w="3312"/>
            <w:vAlign w:val="top"/>
          </w:tcPr>
          <w:p>
            <w:r/>
            <w:r>
              <w:rPr>
                <w:b w:val="0"/>
              </w:rPr>
              <w:t>Macht spätere Auswahlregeln transparent.</w:t>
            </w:r>
          </w:p>
        </w:tc>
      </w:tr>
      <w:tr>
        <w:tc>
          <w:tcPr>
            <w:tcW w:type="dxa" w:w="3312"/>
            <w:vAlign w:val="top"/>
          </w:tcPr>
          <w:p>
            <w:r/>
            <w:r>
              <w:rPr>
                <w:b w:val="0"/>
              </w:rPr>
              <w:t>assembly_preference</w:t>
            </w:r>
          </w:p>
        </w:tc>
        <w:tc>
          <w:tcPr>
            <w:tcW w:type="dxa" w:w="3312"/>
            <w:vAlign w:val="top"/>
          </w:tcPr>
          <w:p>
            <w:r/>
            <w:r>
              <w:rPr>
                <w:b w:val="0"/>
              </w:rPr>
              <w:t>Bevorzugter Assembly-Typ, z. B. RefSeq.</w:t>
            </w:r>
          </w:p>
        </w:tc>
        <w:tc>
          <w:tcPr>
            <w:tcW w:type="dxa" w:w="3312"/>
            <w:vAlign w:val="top"/>
          </w:tcPr>
          <w:p>
            <w:r/>
            <w:r>
              <w:rPr>
                <w:b w:val="0"/>
              </w:rPr>
              <w:t>Dokumentiert die Standardstrategie der Datenauswahl.</w:t>
            </w:r>
          </w:p>
        </w:tc>
      </w:tr>
      <w:tr>
        <w:tc>
          <w:tcPr>
            <w:tcW w:type="dxa" w:w="3312"/>
            <w:vAlign w:val="top"/>
          </w:tcPr>
          <w:p>
            <w:r/>
            <w:r>
              <w:rPr>
                <w:b w:val="0"/>
              </w:rPr>
              <w:t>status</w:t>
            </w:r>
          </w:p>
        </w:tc>
        <w:tc>
          <w:tcPr>
            <w:tcW w:type="dxa" w:w="3312"/>
            <w:vAlign w:val="top"/>
          </w:tcPr>
          <w:p>
            <w:r/>
            <w:r>
              <w:rPr>
                <w:b w:val="0"/>
              </w:rPr>
              <w:t>Status der automatischen Zuordnung.</w:t>
            </w:r>
          </w:p>
        </w:tc>
        <w:tc>
          <w:tcPr>
            <w:tcW w:type="dxa" w:w="3312"/>
            <w:vAlign w:val="top"/>
          </w:tcPr>
          <w:p>
            <w:r/>
            <w:r>
              <w:rPr>
                <w:b w:val="0"/>
              </w:rPr>
              <w:t>Markiert bekannte versus manuell zu überprüfende Fälle.</w:t>
            </w:r>
          </w:p>
        </w:tc>
      </w:tr>
      <w:tr>
        <w:tc>
          <w:tcPr>
            <w:tcW w:type="dxa" w:w="3312"/>
            <w:vAlign w:val="top"/>
          </w:tcPr>
          <w:p>
            <w:r/>
            <w:r>
              <w:rPr>
                <w:b w:val="0"/>
              </w:rPr>
              <w:t>notes</w:t>
            </w:r>
          </w:p>
        </w:tc>
        <w:tc>
          <w:tcPr>
            <w:tcW w:type="dxa" w:w="3312"/>
            <w:vAlign w:val="top"/>
          </w:tcPr>
          <w:p>
            <w:r/>
            <w:r>
              <w:rPr>
                <w:b w:val="0"/>
              </w:rPr>
              <w:t>Freitextfeld für methodische Hinweise.</w:t>
            </w:r>
          </w:p>
        </w:tc>
        <w:tc>
          <w:tcPr>
            <w:tcW w:type="dxa" w:w="3312"/>
            <w:vAlign w:val="top"/>
          </w:tcPr>
          <w:p>
            <w:r/>
            <w:r>
              <w:rPr>
                <w:b w:val="0"/>
              </w:rPr>
              <w:t>Dokumentiert Unsicherheiten und Kurationsbedarf.</w:t>
            </w:r>
          </w:p>
        </w:tc>
      </w:tr>
    </w:tbl>
    <w:p>
      <w:pPr>
        <w:pStyle w:val="Heading1"/>
      </w:pPr>
      <w:r>
        <w:t>6. Algorithmische Vorgehensweise</w:t>
      </w:r>
    </w:p>
    <w:p>
      <w:pPr>
        <w:spacing w:after="120"/>
      </w:pPr>
      <w:r>
        <w:t>Das Script führt die folgenden Schritte aus:</w:t>
      </w:r>
    </w:p>
    <w:p>
      <w:pPr>
        <w:spacing w:after="120"/>
      </w:pPr>
      <w:r>
        <w:t>1. Einlesen der Species-Liste aus einer Textdatei.</w:t>
        <w:br/>
        <w:t>2. Entfernen von Kommentaren und Leerzeilen.</w:t>
        <w:br/>
        <w:t>3. Normalisierung von Leerzeichen und Species-Namen.</w:t>
        <w:br/>
        <w:t>4. Erzeugung einer stabilen internen species_id durch Kleinschreibung und Ersetzung nicht-alphanumerischer Zeichen durch Unterstriche.</w:t>
        <w:br/>
        <w:t>5. Prüfung auf doppelte Species-Einträge unter Beibehaltung der ersten Instanz.</w:t>
        <w:br/>
        <w:t>6. Abgleich mit einer internen Lookup-Tabelle bekannter Vertebratenarten.</w:t>
        <w:br/>
        <w:t>7. Erzeugung vollständiger Registry-Zeilen für bekannte Species.</w:t>
        <w:br/>
        <w:t>8. Markierung unbekannter Species mit needs_manual_review.</w:t>
        <w:br/>
        <w:t>9. Validierung des Output-Schemas und grundlegender Werte, zum Beispiel numerischer Taxonomy IDs.</w:t>
        <w:br/>
        <w:t>10. Schreiben der Registry- und Warning-Dateien als TSV.</w:t>
      </w:r>
    </w:p>
    <w:p>
      <w:pPr>
        <w:pStyle w:val="Heading1"/>
      </w:pPr>
      <w:r>
        <w:t>7. Annotation-aware Umgang mit Unsicherheit</w:t>
      </w:r>
    </w:p>
    <w:p>
      <w:pPr>
        <w:spacing w:after="120"/>
      </w:pPr>
      <w:r>
        <w:t>Ein wichtiger methodischer Aspekt ist, dass unbekannte Species nicht stillschweigend ausgeschlossen oder fälschlich als sicher annotiert werden. Stattdessen werden sie in der Registry behalten, aber mit dem Status needs_manual_review und einer Warnung versehen. Diese Entscheidung ist für eine annotation-aware Pipeline zentral: Unsicherheit wird sichtbar gemacht, statt verborgen zu werden. Dadurch kann später nachvollzogen werden, ob eine Species ausgeschlossen, manuell korrigiert oder mit eingeschränkter Aussagekraft weiterverwendet wurde.</w:t>
      </w:r>
    </w:p>
    <w:p>
      <w:pPr>
        <w:pStyle w:val="Heading1"/>
      </w:pPr>
      <w:r>
        <w:t>8. Qualitätssicherung und Tests</w:t>
      </w:r>
    </w:p>
    <w:p>
      <w:pPr>
        <w:spacing w:after="120"/>
      </w:pPr>
      <w:r>
        <w:t>Für das Script wurden automatisierte Tests mit pytest erstellt. Die Tests prüfen unter anderem die korrekte Erzeugung stabiler species_id-Werte, die Zuordnung bekannter Species, die Behandlung unbekannter Species, die Erkennung von Duplikaten, das Schreiben der Output-Dateien sowie das Verhalten im strict-Modus. Für Dateioperationen wird das pytest-fixture tmp_path verwendet, wodurch jeder Test in einem isolierten temporären Verzeichnis ausgeführt wird. Dies verhindert, dass reale Projektdaten überschrieben werden, und unterstützt reproduzierbare Testläufe (pytest documentation, 2026).</w:t>
      </w:r>
    </w:p>
    <w:p>
      <w:pPr>
        <w:spacing w:after="120"/>
      </w:pPr>
      <w:r>
        <w:t>Die Tests sind methodisch relevant, weil die Species Registry die Grundlage der gesamten Pipeline bildet. Fehler in diesem Schritt könnten sich in alle folgenden Analysen übertragen. Eine automatische Prüfung des ersten Pipeline-Schritts reduziert deshalb das Risiko systematischer Folgefehler.</w:t>
      </w:r>
    </w:p>
    <w:p>
      <w:pPr>
        <w:pStyle w:val="Heading1"/>
      </w:pPr>
      <w:r>
        <w:t>9. Methodische Stärken</w:t>
      </w:r>
    </w:p>
    <w:p>
      <w:pPr>
        <w:spacing w:after="120"/>
      </w:pPr>
      <w:r>
        <w:t>Die verbesserte Version des Scripts besitzt mehrere methodische Vorteile: Sie erzeugt reproduzierbare Outputs, trennt Input-Namen von datenbankspezifischen Identifiern, dokumentiert Unsicherheiten explizit, prüft zentrale Schemaeigenschaften und unterstützt einen strict-Modus für finale Analysen. Außerdem ist die Struktur funktional modularisiert, sodass einzelne Komponenten gezielt getestet werden können.</w:t>
      </w:r>
    </w:p>
    <w:p>
      <w:pPr>
        <w:pStyle w:val="Heading1"/>
      </w:pPr>
      <w:r>
        <w:t>10. Limitierungen</w:t>
      </w:r>
    </w:p>
    <w:p>
      <w:pPr>
        <w:spacing w:after="120"/>
      </w:pPr>
      <w:r>
        <w:t>Die interne Lookup-Tabelle ersetzt keine vollständige taxonomische Datenbank. Sie dient als kontrollierter Startpunkt für die im Projekt geplante Vertebraten-Auswahl. Für die finale Analyse sollten alle verwendeten Species, Taxonomy IDs, Ensembl-Schlüssel und NCBI-Namen zusätzlich anhand der jeweiligen Datenbankressourcen überprüft werden. Außerdem bildet die grobe clade-Kategorie nur eine vereinfachte biologische Gruppierung ab und sollte nicht als vollständige phylogenetische Analyse interpretiert werden.</w:t>
      </w:r>
    </w:p>
    <w:p>
      <w:pPr>
        <w:pStyle w:val="Heading1"/>
      </w:pPr>
      <w:r>
        <w:t>11. Formulierungsvorschlag für die Bachelorarbeit</w:t>
      </w:r>
    </w:p>
    <w:p>
      <w:pPr>
        <w:spacing w:after="120"/>
      </w:pPr>
      <w:r>
        <w:t>Zu Beginn der Pipeline wurde eine Species Registry erstellt, die als zentrale Referenztabelle für alle nachfolgenden Analyseschritte dient. Ausgehend von einer einfachen Liste wissenschaftlicher Artnamen generiert das Script build_species_registry_improved.py eine tabellarische Registry mit stabilen internen Species-IDs, datenbankspezifischen Ensembl- und NCBI-Bezeichnungen, NCBI Taxonomy IDs, groben Vertebraten-Kladen sowie Angaben zur bevorzugten Datenquelle und Assembly-Auswahl. Zusätzlich werden unbekannte oder doppelte Species-Einträge in einer separaten Warnungsdatei dokumentiert.</w:t>
      </w:r>
    </w:p>
    <w:p>
      <w:pPr>
        <w:spacing w:after="120"/>
      </w:pPr>
      <w:r>
        <w:t>Diese explizite Registry wurde verwendet, um die Reproduzierbarkeit der vergleichenden FGFR2-Analyse zu erhöhen und uneinheitliche Species-Bezeichnungen zwischen Datenbanken zu vermeiden. Da vergleichende Ortholog- und Transkriptanalysen von konsistenten Organismen- und Datenbankidentifiern abhängen, bildet die Registry eine wichtige Grundlage für die spätere Sammlung von FGFR2-Modellen, die transcript annotation-aware selection sowie die Projektion von CDS-Grenzen auf Protein- und Domänenkoordinaten. Unsichere Einträge werden nicht automatisch als korrekt behandelt, sondern mit einem Review-Status markiert. Damit folgt der Workflow einem annotation-aware Prinzip, bei dem Datenqualität und Unsicherheit explizit dokumentiert werden.</w:t>
      </w:r>
    </w:p>
    <w:p>
      <w:pPr>
        <w:pStyle w:val="Heading1"/>
      </w:pPr>
      <w:r>
        <w:t>12. Warum diese Methode sinnvoll ist</w:t>
      </w:r>
    </w:p>
    <w:p>
      <w:pPr>
        <w:spacing w:after="120"/>
      </w:pPr>
      <w:r>
        <w:t>Die Methode ist sinnvoll, weil sie einen häufigen Fehler in vergleichenden Bioinformatik-Workflows adressiert: Uneinheitliche oder implizite Behandlung von Species-Namen und Datenbankidentifiern. Durch die zentrale Registry wird festgelegt, welche Species in der Analyse enthalten sind, welche Identifier verwendet werden und welche Fälle unsicher sind. Dies verbessert Nachvollziehbarkeit, Wiederverwendbarkeit und spätere Fehlersuche. Für die FGFR2-Fallstudie ist dies besonders wichtig, da die späteren Schritte Ortholog-Zuordnung, Transcript-Auswahl, CDS-Extraktion und Exon-Domain-Mapping miteinander verbinden.</w:t>
      </w:r>
    </w:p>
    <w:p>
      <w:pPr>
        <w:pStyle w:val="Heading1"/>
      </w:pPr>
      <w:r>
        <w:t>13. Empfohlene Zitierstellen im Text</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
              <w:rPr>
                <w:b/>
              </w:rPr>
              <w:t>Aussage im Methodenteil</w:t>
            </w:r>
          </w:p>
        </w:tc>
        <w:tc>
          <w:tcPr>
            <w:tcW w:type="dxa" w:w="3312"/>
            <w:shd w:fill="D9EAF7"/>
          </w:tcPr>
          <w:p>
            <w:r/>
            <w:r>
              <w:rPr>
                <w:b/>
              </w:rPr>
              <w:t>Quelle</w:t>
            </w:r>
          </w:p>
        </w:tc>
        <w:tc>
          <w:tcPr>
            <w:tcW w:type="dxa" w:w="3312"/>
            <w:shd w:fill="D9EAF7"/>
          </w:tcPr>
          <w:p>
            <w:r/>
            <w:r>
              <w:rPr>
                <w:b/>
              </w:rPr>
              <w:t>Warum passend?</w:t>
            </w:r>
          </w:p>
        </w:tc>
      </w:tr>
      <w:tr>
        <w:tc>
          <w:tcPr>
            <w:tcW w:type="dxa" w:w="3312"/>
            <w:vAlign w:val="top"/>
          </w:tcPr>
          <w:p>
            <w:r/>
            <w:r>
              <w:rPr>
                <w:b w:val="0"/>
              </w:rPr>
              <w:t>Verwendung von Taxonomy IDs und kuratierter Organismen-Nomenklatur</w:t>
            </w:r>
          </w:p>
        </w:tc>
        <w:tc>
          <w:tcPr>
            <w:tcW w:type="dxa" w:w="3312"/>
            <w:vAlign w:val="top"/>
          </w:tcPr>
          <w:p>
            <w:r/>
            <w:r>
              <w:rPr>
                <w:b w:val="0"/>
              </w:rPr>
              <w:t>Federhen (2012); Schoch et al. (2020)</w:t>
            </w:r>
          </w:p>
        </w:tc>
        <w:tc>
          <w:tcPr>
            <w:tcW w:type="dxa" w:w="3312"/>
            <w:vAlign w:val="top"/>
          </w:tcPr>
          <w:p>
            <w:r/>
            <w:r>
              <w:rPr>
                <w:b w:val="0"/>
              </w:rPr>
              <w:t>NCBI Taxonomy ist eine zentrale Ressource für Organismenklassifikation in Sequenzdatenbanken.</w:t>
            </w:r>
          </w:p>
        </w:tc>
      </w:tr>
      <w:tr>
        <w:tc>
          <w:tcPr>
            <w:tcW w:type="dxa" w:w="3312"/>
            <w:vAlign w:val="top"/>
          </w:tcPr>
          <w:p>
            <w:r/>
            <w:r>
              <w:rPr>
                <w:b w:val="0"/>
              </w:rPr>
              <w:t>Verwendung von Ensembl-kompatiblen Species-Schlüsseln</w:t>
            </w:r>
          </w:p>
        </w:tc>
        <w:tc>
          <w:tcPr>
            <w:tcW w:type="dxa" w:w="3312"/>
            <w:vAlign w:val="top"/>
          </w:tcPr>
          <w:p>
            <w:r/>
            <w:r>
              <w:rPr>
                <w:b w:val="0"/>
              </w:rPr>
              <w:t>Harrison et al. (2024); Dyer et al. (2025)</w:t>
            </w:r>
          </w:p>
        </w:tc>
        <w:tc>
          <w:tcPr>
            <w:tcW w:type="dxa" w:w="3312"/>
            <w:vAlign w:val="top"/>
          </w:tcPr>
          <w:p>
            <w:r/>
            <w:r>
              <w:rPr>
                <w:b w:val="0"/>
              </w:rPr>
              <w:t>Ensembl ist eine etablierte Ressource für Genomannotation und vergleichende Genomik.</w:t>
            </w:r>
          </w:p>
        </w:tc>
      </w:tr>
      <w:tr>
        <w:tc>
          <w:tcPr>
            <w:tcW w:type="dxa" w:w="3312"/>
            <w:vAlign w:val="top"/>
          </w:tcPr>
          <w:p>
            <w:r/>
            <w:r>
              <w:rPr>
                <w:b w:val="0"/>
              </w:rPr>
              <w:t>Maschinenlesbare Metadaten, Identifier und Wiederverwendbarkeit</w:t>
            </w:r>
          </w:p>
        </w:tc>
        <w:tc>
          <w:tcPr>
            <w:tcW w:type="dxa" w:w="3312"/>
            <w:vAlign w:val="top"/>
          </w:tcPr>
          <w:p>
            <w:r/>
            <w:r>
              <w:rPr>
                <w:b w:val="0"/>
              </w:rPr>
              <w:t>Wilkinson et al. (2016)</w:t>
            </w:r>
          </w:p>
        </w:tc>
        <w:tc>
          <w:tcPr>
            <w:tcW w:type="dxa" w:w="3312"/>
            <w:vAlign w:val="top"/>
          </w:tcPr>
          <w:p>
            <w:r/>
            <w:r>
              <w:rPr>
                <w:b w:val="0"/>
              </w:rPr>
              <w:t>FAIR-Prinzipien begründen strukturierte, wiederverwendbare Metadaten.</w:t>
            </w:r>
          </w:p>
        </w:tc>
      </w:tr>
      <w:tr>
        <w:tc>
          <w:tcPr>
            <w:tcW w:type="dxa" w:w="3312"/>
            <w:vAlign w:val="top"/>
          </w:tcPr>
          <w:p>
            <w:r/>
            <w:r>
              <w:rPr>
                <w:b w:val="0"/>
              </w:rPr>
              <w:t>Automatisierte Tests und isolierte temporäre Testverzeichnisse</w:t>
            </w:r>
          </w:p>
        </w:tc>
        <w:tc>
          <w:tcPr>
            <w:tcW w:type="dxa" w:w="3312"/>
            <w:vAlign w:val="top"/>
          </w:tcPr>
          <w:p>
            <w:r/>
            <w:r>
              <w:rPr>
                <w:b w:val="0"/>
              </w:rPr>
              <w:t>pytest documentation (2026)</w:t>
            </w:r>
          </w:p>
        </w:tc>
        <w:tc>
          <w:tcPr>
            <w:tcW w:type="dxa" w:w="3312"/>
            <w:vAlign w:val="top"/>
          </w:tcPr>
          <w:p>
            <w:r/>
            <w:r>
              <w:rPr>
                <w:b w:val="0"/>
              </w:rPr>
              <w:t>Die pytest-Dokumentation beschreibt tmp_path als isoliertes temporäres Verzeichnis pro Testfunktion.</w:t>
            </w:r>
          </w:p>
        </w:tc>
      </w:tr>
    </w:tbl>
    <w:p>
      <w:pPr>
        <w:pStyle w:val="Heading1"/>
      </w:pPr>
      <w:r>
        <w:t>14. Literaturverzeichnis</w:t>
      </w:r>
    </w:p>
    <w:p>
      <w:pPr>
        <w:spacing w:after="80"/>
        <w:ind w:left="360" w:hanging="360"/>
      </w:pPr>
      <w:r>
        <w:t>Federhen, S. (2012). The NCBI Taxonomy database. Nucleic Acids Research, 40(D1), D136–D143. https://doi.org/10.1093/nar/gkr1178</w:t>
      </w:r>
    </w:p>
    <w:p>
      <w:pPr>
        <w:spacing w:after="80"/>
        <w:ind w:left="360" w:hanging="360"/>
      </w:pPr>
      <w:r>
        <w:t>Schoch, C. L., Ciufo, S., Domrachev, M., Hotton, C. L., Kannan, S., Khovanskaya, R., Leipe, D., McVeigh, R., O’Neill, K., Robbertse, B., Sharma, S., Soussov, V., Sullivan, J. P., Sun, L., Turner, S., &amp; Karsch-Mizrachi, I. (2020). NCBI Taxonomy: a comprehensive update on curation, resources and tools. Database, 2020, baaa062. https://doi.org/10.1093/database/baaa062</w:t>
      </w:r>
    </w:p>
    <w:p>
      <w:pPr>
        <w:spacing w:after="80"/>
        <w:ind w:left="360" w:hanging="360"/>
      </w:pPr>
      <w:r>
        <w:t>Harrison, P. W., Amode, M. R., Austine-Orimoloye, O., Azov, A. G., Barba, M., Barnes, I., Becker, A., Bennett, R., Berry, A., Bhai, J., et al. (2024). Ensembl 2024. Nucleic Acids Research, 52(D1), D891–D899. https://doi.org/10.1093/nar/gkad1049</w:t>
      </w:r>
    </w:p>
    <w:p>
      <w:pPr>
        <w:spacing w:after="80"/>
        <w:ind w:left="360" w:hanging="360"/>
      </w:pPr>
      <w:r>
        <w:t>Dyer, S. C., et al. (2025). Ensembl 2025. Nucleic Acids Research, 53(D1), D948–D957. https://doi.org/10.1093/nar/gkae1071</w:t>
      </w:r>
    </w:p>
    <w:p>
      <w:pPr>
        <w:spacing w:after="80"/>
        <w:ind w:left="360" w:hanging="360"/>
      </w:pPr>
      <w:r>
        <w:t>Wilkinson, M. D., Dumontier, M., Aalbersberg, I. J., Appleton, G., Axton, M., Baak, A., Blomberg, N., Boiten, J.-W., da Silva Santos, L. B., Bourne, P. E., et al. (2016). The FAIR Guiding Principles for scientific data management and stewardship. Scientific Data, 3, 160018. https://doi.org/10.1038/sdata.2016.18</w:t>
      </w:r>
    </w:p>
    <w:p>
      <w:pPr>
        <w:spacing w:after="80"/>
        <w:ind w:left="360" w:hanging="360"/>
      </w:pPr>
      <w:r>
        <w:t>pytest documentation. (2026). How to use temporary directories and files in tests. https://docs.pytest.org/en/stable/how-to/tmp_path.html</w:t>
      </w:r>
    </w:p>
    <w:p>
      <w:pPr>
        <w:pStyle w:val="Heading1"/>
      </w:pPr>
      <w:r>
        <w:t>15. Hinweis zur wissenschaftlichen Formulierung</w:t>
      </w:r>
    </w:p>
    <w:p>
      <w:pPr>
        <w:spacing w:after="120"/>
      </w:pPr>
      <w:r>
        <w:t>In der Bachelorarbeit sollte nicht formuliert werden, dass die Pipeline „100 % richtige“ biologische Ergebnisse garantiert. Wissenschaftlich stärker ist die Aussage, dass die Pipeline regelbasiert, reproduzierbar und testgestützt ist und annotationelle Unsicherheiten explizit dokumentiert. Dadurch werden die Ergebnisse nachvollziehbar und kritisch interpretierbar.</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Methodenbeschreibung – build_species_registry_improved.py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