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Methodenbeschreibung für die Bachelorarbeit</w:t>
      </w:r>
    </w:p>
    <w:p>
      <w:pPr>
        <w:jc w:val="center"/>
      </w:pPr>
      <w:r>
        <w:rPr>
          <w:b/>
          <w:sz w:val="28"/>
        </w:rPr>
        <w:t>Script 4: classify_fgfr2_IIIb_IIIc_by_exon_structure_v2.py</w:t>
      </w:r>
    </w:p>
    <w:p>
      <w:pPr>
        <w:jc w:val="center"/>
      </w:pPr>
      <w:r>
        <w:rPr>
          <w:i/>
        </w:rPr>
        <w:t>Exon-structure-based classification of FGFR2 IIIb/IIIc isoform evidence</w:t>
      </w:r>
    </w:p>
    <w:p>
      <w:pPr>
        <w:jc w:val="center"/>
      </w:pPr>
      <w:r>
        <w:rPr>
          <w:sz w:val="18"/>
        </w:rPr>
        <w:t>Erstellt: 01.06.2026</w:t>
      </w:r>
    </w:p>
    <w:p>
      <w:pPr>
        <w:pStyle w:val="Heading1"/>
      </w:pPr>
      <w:r>
        <w:t>1. Ziel des Pipeline-Schritts</w:t>
      </w:r>
    </w:p>
    <w:p>
      <w:r>
        <w:t>Dieses Script erzeugt eine strukturelle Evidenztabelle für die FGFR2-IIIb/IIIc-Isoformklassifikation. Im Gegensatz zu einer rein namenbasierten Zuordnung wird die Klassifikation aus der Exonstruktur abgeleitet. FGFR2-IIIb und FGFR2-IIIc entstehen durch die mutually exclusive inclusion zweier alternativer Exons in der IgIII/D3-Region; diese Exons verändern die ligandbindende Region des Rezeptors und sind funktionell relevant für zelltypspezifische Signalantworten (Jones et al., 2001; Baraniak et al., 2003; Holzmann et al., 2012; Warzecha et al., 2009).</w:t>
      </w:r>
    </w:p>
    <w:p>
      <w:r>
        <w:t>Der Schritt ist im Gesamtworkflow zentral, weil die hier erzeugte isoform_evidence-Tabelle anschließend erneut in die annotation-aware Transkriptauswahl eingespeist wird. Dadurch werden IIIb/IIIc-Kandidaten nicht primär über Transcriptnamen, sondern über eine explizit dokumentierte strukturelle Evidenz ausgewählt.</w:t>
      </w:r>
    </w:p>
    <w:p>
      <w:pPr>
        <w:ind w:left="360"/>
      </w:pPr>
      <w:r>
        <w:rPr>
          <w:rFonts w:ascii="Courier New" w:hAnsi="Courier New" w:eastAsia="Courier New"/>
          <w:sz w:val="18"/>
        </w:rPr>
        <w:t>collect_fgfr2_models_dual_source_v3.py</w:t>
        <w:br/>
        <w:t>↓</w:t>
        <w:br/>
        <w:t>select_fgfr2_transcripts_annotation_aware_v2.py</w:t>
        <w:br/>
        <w:t>↓</w:t>
        <w:br/>
        <w:t>classify_fgfr2_IIIb_IIIc_by_exon_structure_v2.py</w:t>
        <w:br/>
        <w:t>↓</w:t>
        <w:br/>
        <w:t>select_fgfr2_transcripts_annotation_aware_v2.py --isoform_evidence ...</w:t>
      </w:r>
    </w:p>
    <w:p>
      <w:pPr>
        <w:pStyle w:val="Heading1"/>
      </w:pPr>
      <w:r>
        <w:t>2. Input und Output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Input</w:t>
            </w:r>
          </w:p>
        </w:tc>
        <w:tc>
          <w:tcPr>
            <w:tcW w:type="dxa" w:w="3360"/>
            <w:shd w:fill="D9EAF7"/>
            <w:vAlign w:val="center"/>
          </w:tcPr>
          <w:p>
            <w:r/>
            <w:r>
              <w:rPr>
                <w:b/>
                <w:sz w:val="18"/>
              </w:rPr>
              <w:t>Beschreibung</w:t>
            </w:r>
          </w:p>
        </w:tc>
        <w:tc>
          <w:tcPr>
            <w:tcW w:type="dxa" w:w="3360"/>
            <w:shd w:fill="D9EAF7"/>
            <w:vAlign w:val="center"/>
          </w:tcPr>
          <w:p>
            <w:r/>
            <w:r>
              <w:rPr>
                <w:b/>
                <w:sz w:val="18"/>
              </w:rPr>
              <w:t>Verwendung</w:t>
            </w:r>
          </w:p>
        </w:tc>
      </w:tr>
      <w:tr>
        <w:tc>
          <w:tcPr>
            <w:tcW w:type="dxa" w:w="3360"/>
            <w:vAlign w:val="top"/>
          </w:tcPr>
          <w:p>
            <w:r/>
            <w:r>
              <w:rPr>
                <w:b w:val="0"/>
                <w:sz w:val="18"/>
              </w:rPr>
              <w:t>transcripts.tsv</w:t>
            </w:r>
          </w:p>
        </w:tc>
        <w:tc>
          <w:tcPr>
            <w:tcW w:type="dxa" w:w="3360"/>
            <w:vAlign w:val="top"/>
          </w:tcPr>
          <w:p>
            <w:r/>
            <w:r>
              <w:rPr>
                <w:b w:val="0"/>
                <w:sz w:val="18"/>
              </w:rPr>
              <w:t>normalisierte Transkript-Tabelle aus dem FGFR2-Collector</w:t>
            </w:r>
          </w:p>
        </w:tc>
        <w:tc>
          <w:tcPr>
            <w:tcW w:type="dxa" w:w="3360"/>
            <w:vAlign w:val="top"/>
          </w:tcPr>
          <w:p>
            <w:r/>
            <w:r>
              <w:rPr>
                <w:b w:val="0"/>
                <w:sz w:val="18"/>
              </w:rPr>
              <w:t>Gruppierung nach Species, Quelle und Gen; Filterung plausibler Transkripte</w:t>
            </w:r>
          </w:p>
        </w:tc>
      </w:tr>
      <w:tr>
        <w:tc>
          <w:tcPr>
            <w:tcW w:type="dxa" w:w="3360"/>
            <w:vAlign w:val="top"/>
          </w:tcPr>
          <w:p>
            <w:r/>
            <w:r>
              <w:rPr>
                <w:b w:val="0"/>
                <w:sz w:val="18"/>
              </w:rPr>
              <w:t>exons.tsv</w:t>
            </w:r>
          </w:p>
        </w:tc>
        <w:tc>
          <w:tcPr>
            <w:tcW w:type="dxa" w:w="3360"/>
            <w:vAlign w:val="top"/>
          </w:tcPr>
          <w:p>
            <w:r/>
            <w:r>
              <w:rPr>
                <w:b w:val="0"/>
                <w:sz w:val="18"/>
              </w:rPr>
              <w:t>Exonkoordinaten pro Transkript</w:t>
            </w:r>
          </w:p>
        </w:tc>
        <w:tc>
          <w:tcPr>
            <w:tcW w:type="dxa" w:w="3360"/>
            <w:vAlign w:val="top"/>
          </w:tcPr>
          <w:p>
            <w:r/>
            <w:r>
              <w:rPr>
                <w:b w:val="0"/>
                <w:sz w:val="18"/>
              </w:rPr>
              <w:t>Erkennung flankierter alternativer Exon-Slots</w:t>
            </w:r>
          </w:p>
        </w:tc>
      </w:tr>
      <w:tr>
        <w:tc>
          <w:tcPr>
            <w:tcW w:type="dxa" w:w="3360"/>
            <w:vAlign w:val="top"/>
          </w:tcPr>
          <w:p>
            <w:r/>
            <w:r>
              <w:rPr>
                <w:b w:val="0"/>
                <w:sz w:val="18"/>
              </w:rPr>
              <w:t>selected_transcripts.tsv (optional)</w:t>
            </w:r>
          </w:p>
        </w:tc>
        <w:tc>
          <w:tcPr>
            <w:tcW w:type="dxa" w:w="3360"/>
            <w:vAlign w:val="top"/>
          </w:tcPr>
          <w:p>
            <w:r/>
            <w:r>
              <w:rPr>
                <w:b w:val="0"/>
                <w:sz w:val="18"/>
              </w:rPr>
              <w:t>vorherige Transkriptauswahl</w:t>
            </w:r>
          </w:p>
        </w:tc>
        <w:tc>
          <w:tcPr>
            <w:tcW w:type="dxa" w:w="3360"/>
            <w:vAlign w:val="top"/>
          </w:tcPr>
          <w:p>
            <w:r/>
            <w:r>
              <w:rPr>
                <w:b w:val="0"/>
                <w:sz w:val="18"/>
              </w:rPr>
              <w:t>optionale Priorisierung/Audit-Kontext</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Output</w:t>
            </w:r>
          </w:p>
        </w:tc>
        <w:tc>
          <w:tcPr>
            <w:tcW w:type="dxa" w:w="5040"/>
            <w:shd w:fill="D9EAF7"/>
            <w:vAlign w:val="center"/>
          </w:tcPr>
          <w:p>
            <w:r/>
            <w:r>
              <w:rPr>
                <w:b/>
                <w:sz w:val="18"/>
              </w:rPr>
              <w:t>Beschreibung</w:t>
            </w:r>
          </w:p>
        </w:tc>
      </w:tr>
      <w:tr>
        <w:tc>
          <w:tcPr>
            <w:tcW w:type="dxa" w:w="5040"/>
            <w:vAlign w:val="top"/>
          </w:tcPr>
          <w:p>
            <w:r/>
            <w:r>
              <w:rPr>
                <w:b w:val="0"/>
                <w:sz w:val="18"/>
              </w:rPr>
              <w:t>fgfr2_isoform_evidence.tsv</w:t>
            </w:r>
          </w:p>
        </w:tc>
        <w:tc>
          <w:tcPr>
            <w:tcW w:type="dxa" w:w="5040"/>
            <w:vAlign w:val="top"/>
          </w:tcPr>
          <w:p>
            <w:r/>
            <w:r>
              <w:rPr>
                <w:b w:val="0"/>
                <w:sz w:val="18"/>
              </w:rPr>
              <w:t>pro Transkript die strukturelle IIIb/IIIc-Zuordnung und Confidence</w:t>
            </w:r>
          </w:p>
        </w:tc>
      </w:tr>
      <w:tr>
        <w:tc>
          <w:tcPr>
            <w:tcW w:type="dxa" w:w="5040"/>
            <w:vAlign w:val="top"/>
          </w:tcPr>
          <w:p>
            <w:r/>
            <w:r>
              <w:rPr>
                <w:b w:val="0"/>
                <w:sz w:val="18"/>
              </w:rPr>
              <w:t>fgfr2_isoform_detection_audit.tsv</w:t>
            </w:r>
          </w:p>
        </w:tc>
        <w:tc>
          <w:tcPr>
            <w:tcW w:type="dxa" w:w="5040"/>
            <w:vAlign w:val="top"/>
          </w:tcPr>
          <w:p>
            <w:r/>
            <w:r>
              <w:rPr>
                <w:b w:val="0"/>
                <w:sz w:val="18"/>
              </w:rPr>
              <w:t>Slot-Level-Audit mit alternativen Exons, Flanken und Mutual-Exclusivity-Kennzahlen</w:t>
            </w:r>
          </w:p>
        </w:tc>
      </w:tr>
      <w:tr>
        <w:tc>
          <w:tcPr>
            <w:tcW w:type="dxa" w:w="5040"/>
            <w:vAlign w:val="top"/>
          </w:tcPr>
          <w:p>
            <w:r/>
            <w:r>
              <w:rPr>
                <w:b w:val="0"/>
                <w:sz w:val="18"/>
              </w:rPr>
              <w:t>fgfr2_isoform_summary.tsv</w:t>
            </w:r>
          </w:p>
        </w:tc>
        <w:tc>
          <w:tcPr>
            <w:tcW w:type="dxa" w:w="5040"/>
            <w:vAlign w:val="top"/>
          </w:tcPr>
          <w:p>
            <w:r/>
            <w:r>
              <w:rPr>
                <w:b w:val="0"/>
                <w:sz w:val="18"/>
              </w:rPr>
              <w:t>Species-/Gen-Level-Zusammenfassung</w:t>
            </w:r>
          </w:p>
        </w:tc>
      </w:tr>
      <w:tr>
        <w:tc>
          <w:tcPr>
            <w:tcW w:type="dxa" w:w="5040"/>
            <w:vAlign w:val="top"/>
          </w:tcPr>
          <w:p>
            <w:r/>
            <w:r>
              <w:rPr>
                <w:b w:val="0"/>
                <w:sz w:val="18"/>
              </w:rPr>
              <w:t>fgfr2_isoform_warnings.tsv</w:t>
            </w:r>
          </w:p>
        </w:tc>
        <w:tc>
          <w:tcPr>
            <w:tcW w:type="dxa" w:w="5040"/>
            <w:vAlign w:val="top"/>
          </w:tcPr>
          <w:p>
            <w:r/>
            <w:r>
              <w:rPr>
                <w:b w:val="0"/>
                <w:sz w:val="18"/>
              </w:rPr>
              <w:t>explizite Warnungen zu Ausschlüssen, Mehrdeutigkeiten und fehlender Evidenz</w:t>
            </w:r>
          </w:p>
        </w:tc>
      </w:tr>
      <w:tr>
        <w:tc>
          <w:tcPr>
            <w:tcW w:type="dxa" w:w="5040"/>
            <w:vAlign w:val="top"/>
          </w:tcPr>
          <w:p>
            <w:r/>
            <w:r>
              <w:rPr>
                <w:b w:val="0"/>
                <w:sz w:val="18"/>
              </w:rPr>
              <w:t>run_metadata.json</w:t>
            </w:r>
          </w:p>
        </w:tc>
        <w:tc>
          <w:tcPr>
            <w:tcW w:type="dxa" w:w="5040"/>
            <w:vAlign w:val="top"/>
          </w:tcPr>
          <w:p>
            <w:r/>
            <w:r>
              <w:rPr>
                <w:b w:val="0"/>
                <w:sz w:val="18"/>
              </w:rPr>
              <w:t>Parameter, Input-Größen, Laufzeitinformationen und Reproduzierbarkeitsmetadaten</w:t>
            </w:r>
          </w:p>
        </w:tc>
      </w:tr>
      <w:tr>
        <w:tc>
          <w:tcPr>
            <w:tcW w:type="dxa" w:w="5040"/>
            <w:vAlign w:val="top"/>
          </w:tcPr>
          <w:p>
            <w:r/>
            <w:r>
              <w:rPr>
                <w:b w:val="0"/>
                <w:sz w:val="18"/>
              </w:rPr>
              <w:t>fgfr2_isoform_report.md / .html</w:t>
            </w:r>
          </w:p>
        </w:tc>
        <w:tc>
          <w:tcPr>
            <w:tcW w:type="dxa" w:w="5040"/>
            <w:vAlign w:val="top"/>
          </w:tcPr>
          <w:p>
            <w:r/>
            <w:r>
              <w:rPr>
                <w:b w:val="0"/>
                <w:sz w:val="18"/>
              </w:rPr>
              <w:t>lesbarer Methoden- und Ergebnisreport</w:t>
            </w:r>
          </w:p>
        </w:tc>
      </w:tr>
      <w:tr>
        <w:tc>
          <w:tcPr>
            <w:tcW w:type="dxa" w:w="5040"/>
            <w:vAlign w:val="top"/>
          </w:tcPr>
          <w:p>
            <w:r/>
            <w:r>
              <w:rPr>
                <w:b w:val="0"/>
                <w:sz w:val="18"/>
              </w:rPr>
              <w:t>plots/isoform_summary_by_species.png</w:t>
            </w:r>
          </w:p>
        </w:tc>
        <w:tc>
          <w:tcPr>
            <w:tcW w:type="dxa" w:w="5040"/>
            <w:vAlign w:val="top"/>
          </w:tcPr>
          <w:p>
            <w:r/>
            <w:r>
              <w:rPr>
                <w:b w:val="0"/>
                <w:sz w:val="18"/>
              </w:rPr>
              <w:t>grafische Zusammenfassung der Klassifikation pro Species</w:t>
            </w:r>
          </w:p>
        </w:tc>
      </w:tr>
    </w:tbl>
    <w:p/>
    <w:p>
      <w:pPr>
        <w:pStyle w:val="Heading1"/>
      </w:pPr>
      <w:r>
        <w:t>3. Algorithmische Vorgehensweise</w:t>
      </w:r>
    </w:p>
    <w:p>
      <w:pPr>
        <w:pStyle w:val="Heading2"/>
      </w:pPr>
      <w:r>
        <w:t>3.1 Gruppierung innerhalb von Species und Quelle</w:t>
      </w:r>
    </w:p>
    <w:p>
      <w:r>
        <w:t>Transkripte und Exons werden nicht über Species hinweg anhand genomischer Koordinaten verglichen. Stattdessen erfolgt die Analyse innerhalb einer Species-, Source- und Gen-Gruppe. Diese Entscheidung verhindert, dass Assembly-spezifische Koordinatensysteme unterschiedlicher Arten direkt miteinander vermischt werden. Für eine vergleichende Orthologen-Analyse ist dies wichtig, weil genomische Koordinaten zwischen Species nicht direkt homolog sind und bereits kleinere Annotationunterschiede sonst als biologische Unterschiede fehlinterpretiert werden könnten.</w:t>
      </w:r>
    </w:p>
    <w:p>
      <w:pPr>
        <w:pStyle w:val="Heading2"/>
      </w:pPr>
      <w:r>
        <w:t>3.2 Auswahl plausibler Transkripte</w:t>
      </w:r>
    </w:p>
    <w:p>
      <w:r>
        <w:t>Vor der Slot-Erkennung werden Transkripte als plausible Kandidaten bewertet. Dabei werden Proteinlänge, Exonanzahl und vorhandene Exonstruktur berücksichtigt. Die Kriterien dienen nicht dazu, biologische Wahrheit zu erzwingen, sondern offensichtlich fragmentierte oder unvollständige Modelle von der primären Slot-Erkennung zu trennen. Ausgeschlossene Transkripte werden nicht still verworfen, sondern in der Warnings-Datei dokumentiert. Dadurch bleibt nachvollziehbar, ob eine fehlende IIIb/IIIc-Klassifikation auf biologischer Abwesenheit oder auf unvollständiger Annotation beruhen kann.</w:t>
      </w:r>
    </w:p>
    <w:p>
      <w:pPr>
        <w:pStyle w:val="Heading2"/>
      </w:pPr>
      <w:r>
        <w:t>3.3 Erkennung mutually exclusive exon slots</w:t>
      </w:r>
    </w:p>
    <w:p>
      <w:r>
        <w:t>Der Kern des Scripts ist die Suche nach zwei alternativen internen Exons, die dieselben unmittelbaren flankierenden Exons besitzen. Ein solcher Slot entspricht einem cassette-artigen, mutually exclusive Splicing-Muster. Diese Strategie ist für FGFR2 geeignet, weil die IIIb/IIIc-Varianten durch alternative Verwendung benachbarter Exons im IgIII-Bereich entstehen (Jones et al., 2001; Baraniak et al., 2003; Wagner et al., 2005; Holzmann et al., 2012).</w:t>
      </w:r>
    </w:p>
    <w:p>
      <w:pPr>
        <w:ind w:left="360"/>
      </w:pPr>
      <w:r>
        <w:rPr>
          <w:rFonts w:ascii="Courier New" w:hAnsi="Courier New" w:eastAsia="Courier New"/>
          <w:sz w:val="18"/>
        </w:rPr>
        <w:t>flank_left - alternative_exon_A - flank_right  → Kandidat IIIb</w:t>
        <w:br/>
        <w:t>flank_left - alternative_exon_B - flank_right  → Kandidat IIIc</w:t>
      </w:r>
    </w:p>
    <w:p>
      <w:pPr>
        <w:pStyle w:val="Heading2"/>
      </w:pPr>
      <w:r>
        <w:t>3.4 Strang-spezifische Transkriptreihenfolge</w:t>
      </w:r>
    </w:p>
    <w:p>
      <w:r>
        <w:t>Die Reihenfolge der alternativen Exons wird in Transkriptrichtung bestimmt. Auf dem Plus-Strang entspricht dies der aufsteigenden genomischen Koordinate; auf dem Minus-Strang wird die Reihenfolge umgekehrt interpretiert. Diese Entscheidung ist notwendig, weil die IIIb/IIIc-Zuordnung biologisch entlang des Transkripts und nicht entlang einer absoluten chromosomalen Koordinate definiert ist.</w:t>
      </w:r>
    </w:p>
    <w:p>
      <w:pPr>
        <w:pStyle w:val="Heading2"/>
      </w:pPr>
      <w:r>
        <w:t>3.5 IIIb/IIIc-Zuordnungsregel</w:t>
      </w:r>
    </w:p>
    <w:p>
      <w:r>
        <w:t>Wenn zwei plausible alternative Exons innerhalb eines Slots gefunden werden, wird das erste alternative Exon in Transkriptreihenfolge als IIIb-assoziiert und das zweite als IIIc-assoziiert interpretiert. Diese Regel ist an der etablierten humanen FGFR2-Exon-Nomenklatur kalibriert, in der Exon 8 der IIIb-Variante und Exon 9 der IIIc-Variante entspricht. Die Zuordnung wird im Output explizit als assignment_rule dokumentiert, damit die biologische Annahme transparent bleibt.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Transkriptmuster</w:t>
            </w:r>
          </w:p>
        </w:tc>
        <w:tc>
          <w:tcPr>
            <w:tcW w:type="dxa" w:w="3360"/>
            <w:shd w:fill="D9EAF7"/>
            <w:vAlign w:val="center"/>
          </w:tcPr>
          <w:p>
            <w:r/>
            <w:r>
              <w:rPr>
                <w:b/>
                <w:sz w:val="18"/>
              </w:rPr>
              <w:t>Zuordnung</w:t>
            </w:r>
          </w:p>
        </w:tc>
        <w:tc>
          <w:tcPr>
            <w:tcW w:type="dxa" w:w="3360"/>
            <w:shd w:fill="D9EAF7"/>
            <w:vAlign w:val="center"/>
          </w:tcPr>
          <w:p>
            <w:r/>
            <w:r>
              <w:rPr>
                <w:b/>
                <w:sz w:val="18"/>
              </w:rPr>
              <w:t>Confidence</w:t>
            </w:r>
          </w:p>
        </w:tc>
      </w:tr>
      <w:tr>
        <w:tc>
          <w:tcPr>
            <w:tcW w:type="dxa" w:w="3360"/>
            <w:vAlign w:val="top"/>
          </w:tcPr>
          <w:p>
            <w:r/>
            <w:r>
              <w:rPr>
                <w:b w:val="0"/>
                <w:sz w:val="18"/>
              </w:rPr>
              <w:t>enthält nur das IIIb-assoziierte alternative Exon</w:t>
            </w:r>
          </w:p>
        </w:tc>
        <w:tc>
          <w:tcPr>
            <w:tcW w:type="dxa" w:w="3360"/>
            <w:vAlign w:val="top"/>
          </w:tcPr>
          <w:p>
            <w:r/>
            <w:r>
              <w:rPr>
                <w:b w:val="0"/>
                <w:sz w:val="18"/>
              </w:rPr>
              <w:t>IIIb</w:t>
            </w:r>
          </w:p>
        </w:tc>
        <w:tc>
          <w:tcPr>
            <w:tcW w:type="dxa" w:w="3360"/>
            <w:vAlign w:val="top"/>
          </w:tcPr>
          <w:p>
            <w:r/>
            <w:r>
              <w:rPr>
                <w:b w:val="0"/>
                <w:sz w:val="18"/>
              </w:rPr>
              <w:t>hoch, falls Slot eindeutig ist</w:t>
            </w:r>
          </w:p>
        </w:tc>
      </w:tr>
      <w:tr>
        <w:tc>
          <w:tcPr>
            <w:tcW w:type="dxa" w:w="3360"/>
            <w:vAlign w:val="top"/>
          </w:tcPr>
          <w:p>
            <w:r/>
            <w:r>
              <w:rPr>
                <w:b w:val="0"/>
                <w:sz w:val="18"/>
              </w:rPr>
              <w:t>enthält nur das IIIc-assoziierte alternative Exon</w:t>
            </w:r>
          </w:p>
        </w:tc>
        <w:tc>
          <w:tcPr>
            <w:tcW w:type="dxa" w:w="3360"/>
            <w:vAlign w:val="top"/>
          </w:tcPr>
          <w:p>
            <w:r/>
            <w:r>
              <w:rPr>
                <w:b w:val="0"/>
                <w:sz w:val="18"/>
              </w:rPr>
              <w:t>IIIc</w:t>
            </w:r>
          </w:p>
        </w:tc>
        <w:tc>
          <w:tcPr>
            <w:tcW w:type="dxa" w:w="3360"/>
            <w:vAlign w:val="top"/>
          </w:tcPr>
          <w:p>
            <w:r/>
            <w:r>
              <w:rPr>
                <w:b w:val="0"/>
                <w:sz w:val="18"/>
              </w:rPr>
              <w:t>hoch, falls Slot eindeutig ist</w:t>
            </w:r>
          </w:p>
        </w:tc>
      </w:tr>
      <w:tr>
        <w:tc>
          <w:tcPr>
            <w:tcW w:type="dxa" w:w="3360"/>
            <w:vAlign w:val="top"/>
          </w:tcPr>
          <w:p>
            <w:r/>
            <w:r>
              <w:rPr>
                <w:b w:val="0"/>
                <w:sz w:val="18"/>
              </w:rPr>
              <w:t>enthält beide alternativen Exons</w:t>
            </w:r>
          </w:p>
        </w:tc>
        <w:tc>
          <w:tcPr>
            <w:tcW w:type="dxa" w:w="3360"/>
            <w:vAlign w:val="top"/>
          </w:tcPr>
          <w:p>
            <w:r/>
            <w:r>
              <w:rPr>
                <w:b w:val="0"/>
                <w:sz w:val="18"/>
              </w:rPr>
              <w:t>ambiguous</w:t>
            </w:r>
          </w:p>
        </w:tc>
        <w:tc>
          <w:tcPr>
            <w:tcW w:type="dxa" w:w="3360"/>
            <w:vAlign w:val="top"/>
          </w:tcPr>
          <w:p>
            <w:r/>
            <w:r>
              <w:rPr>
                <w:b w:val="0"/>
                <w:sz w:val="18"/>
              </w:rPr>
              <w:t>niedrig; mögliches Annotationartefakt oder komplexe Isoform</w:t>
            </w:r>
          </w:p>
        </w:tc>
      </w:tr>
      <w:tr>
        <w:tc>
          <w:tcPr>
            <w:tcW w:type="dxa" w:w="3360"/>
            <w:vAlign w:val="top"/>
          </w:tcPr>
          <w:p>
            <w:r/>
            <w:r>
              <w:rPr>
                <w:b w:val="0"/>
                <w:sz w:val="18"/>
              </w:rPr>
              <w:t>enthält keines der Slot-Exons</w:t>
            </w:r>
          </w:p>
        </w:tc>
        <w:tc>
          <w:tcPr>
            <w:tcW w:type="dxa" w:w="3360"/>
            <w:vAlign w:val="top"/>
          </w:tcPr>
          <w:p>
            <w:r/>
            <w:r>
              <w:rPr>
                <w:b w:val="0"/>
                <w:sz w:val="18"/>
              </w:rPr>
              <w:t>unclassified</w:t>
            </w:r>
          </w:p>
        </w:tc>
        <w:tc>
          <w:tcPr>
            <w:tcW w:type="dxa" w:w="3360"/>
            <w:vAlign w:val="top"/>
          </w:tcPr>
          <w:p>
            <w:r/>
            <w:r>
              <w:rPr>
                <w:b w:val="0"/>
                <w:sz w:val="18"/>
              </w:rPr>
              <w:t>keine erzwungene Zuordnung</w:t>
            </w:r>
          </w:p>
        </w:tc>
      </w:tr>
      <w:tr>
        <w:tc>
          <w:tcPr>
            <w:tcW w:type="dxa" w:w="3360"/>
            <w:vAlign w:val="top"/>
          </w:tcPr>
          <w:p>
            <w:r/>
            <w:r>
              <w:rPr>
                <w:b w:val="0"/>
                <w:sz w:val="18"/>
              </w:rPr>
              <w:t>Slot enthält mehr als zwei alternative Exons</w:t>
            </w:r>
          </w:p>
        </w:tc>
        <w:tc>
          <w:tcPr>
            <w:tcW w:type="dxa" w:w="3360"/>
            <w:vAlign w:val="top"/>
          </w:tcPr>
          <w:p>
            <w:r/>
            <w:r>
              <w:rPr>
                <w:b w:val="0"/>
                <w:sz w:val="18"/>
              </w:rPr>
              <w:t>teilweise IIIb/IIIc, weitere ambiguous</w:t>
            </w:r>
          </w:p>
        </w:tc>
        <w:tc>
          <w:tcPr>
            <w:tcW w:type="dxa" w:w="3360"/>
            <w:vAlign w:val="top"/>
          </w:tcPr>
          <w:p>
            <w:r/>
            <w:r>
              <w:rPr>
                <w:b w:val="0"/>
                <w:sz w:val="18"/>
              </w:rPr>
              <w:t>mittel/niedrig; Warnung wird erzeugt</w:t>
            </w:r>
          </w:p>
        </w:tc>
      </w:tr>
    </w:tbl>
    <w:p/>
    <w:p>
      <w:pPr>
        <w:pStyle w:val="Heading1"/>
      </w:pPr>
      <w:r>
        <w:t>4. Begründung zentraler Designentscheidungen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Entscheidung</w:t>
            </w:r>
          </w:p>
        </w:tc>
        <w:tc>
          <w:tcPr>
            <w:tcW w:type="dxa" w:w="3360"/>
            <w:shd w:fill="D9EAF7"/>
            <w:vAlign w:val="center"/>
          </w:tcPr>
          <w:p>
            <w:r/>
            <w:r>
              <w:rPr>
                <w:b/>
                <w:sz w:val="18"/>
              </w:rPr>
              <w:t>Warum wurde es so gemacht?</w:t>
            </w:r>
          </w:p>
        </w:tc>
        <w:tc>
          <w:tcPr>
            <w:tcW w:type="dxa" w:w="3360"/>
            <w:shd w:fill="D9EAF7"/>
            <w:vAlign w:val="center"/>
          </w:tcPr>
          <w:p>
            <w:r/>
            <w:r>
              <w:rPr>
                <w:b/>
                <w:sz w:val="18"/>
              </w:rPr>
              <w:t>Begründung/Literatur</w:t>
            </w:r>
          </w:p>
        </w:tc>
      </w:tr>
      <w:tr>
        <w:tc>
          <w:tcPr>
            <w:tcW w:type="dxa" w:w="3360"/>
            <w:vAlign w:val="top"/>
          </w:tcPr>
          <w:p>
            <w:r/>
            <w:r>
              <w:rPr>
                <w:b w:val="0"/>
                <w:sz w:val="18"/>
              </w:rPr>
              <w:t>Exonstruktur statt Name</w:t>
            </w:r>
          </w:p>
        </w:tc>
        <w:tc>
          <w:tcPr>
            <w:tcW w:type="dxa" w:w="3360"/>
            <w:vAlign w:val="top"/>
          </w:tcPr>
          <w:p>
            <w:r/>
            <w:r>
              <w:rPr>
                <w:b w:val="0"/>
                <w:sz w:val="18"/>
              </w:rPr>
              <w:t>Transkriptnamen sind datenbank- und versionsabhängig; die Exonstruktur ist direkter mit der biologischen Splicing-Evidenz verbunden.</w:t>
            </w:r>
          </w:p>
        </w:tc>
        <w:tc>
          <w:tcPr>
            <w:tcW w:type="dxa" w:w="3360"/>
            <w:vAlign w:val="top"/>
          </w:tcPr>
          <w:p>
            <w:r/>
            <w:r>
              <w:rPr>
                <w:b w:val="0"/>
                <w:sz w:val="18"/>
              </w:rPr>
              <w:t>FGFR2 IIIb/IIIc entsteht durch mutually exclusive Nutzung alternativer Exons; Namenslabels allein sind dafür nicht ausreichend (Jones et al., 2001; Holzmann et al., 2012).</w:t>
            </w:r>
          </w:p>
        </w:tc>
      </w:tr>
      <w:tr>
        <w:tc>
          <w:tcPr>
            <w:tcW w:type="dxa" w:w="3360"/>
            <w:vAlign w:val="top"/>
          </w:tcPr>
          <w:p>
            <w:r/>
            <w:r>
              <w:rPr>
                <w:b w:val="0"/>
                <w:sz w:val="18"/>
              </w:rPr>
              <w:t>Species-interne Analyse</w:t>
            </w:r>
          </w:p>
        </w:tc>
        <w:tc>
          <w:tcPr>
            <w:tcW w:type="dxa" w:w="3360"/>
            <w:vAlign w:val="top"/>
          </w:tcPr>
          <w:p>
            <w:r/>
            <w:r>
              <w:rPr>
                <w:b w:val="0"/>
                <w:sz w:val="18"/>
              </w:rPr>
              <w:t>Koordinaten unterschiedlicher Assemblies und Arten werden nicht direkt vermischt.</w:t>
            </w:r>
          </w:p>
        </w:tc>
        <w:tc>
          <w:tcPr>
            <w:tcW w:type="dxa" w:w="3360"/>
            <w:vAlign w:val="top"/>
          </w:tcPr>
          <w:p>
            <w:r/>
            <w:r>
              <w:rPr>
                <w:b w:val="0"/>
                <w:sz w:val="18"/>
              </w:rPr>
              <w:t>Orthologenvergleiche müssen Assembly- und Annotationunterschiede berücksichtigen; die Methode vermeidet direkte Cross-Species-Koordinatenvergleiche.</w:t>
            </w:r>
          </w:p>
        </w:tc>
      </w:tr>
      <w:tr>
        <w:tc>
          <w:tcPr>
            <w:tcW w:type="dxa" w:w="3360"/>
            <w:vAlign w:val="top"/>
          </w:tcPr>
          <w:p>
            <w:r/>
            <w:r>
              <w:rPr>
                <w:b w:val="0"/>
                <w:sz w:val="18"/>
              </w:rPr>
              <w:t>Flankierende Exons als Slot-Signatur</w:t>
            </w:r>
          </w:p>
        </w:tc>
        <w:tc>
          <w:tcPr>
            <w:tcW w:type="dxa" w:w="3360"/>
            <w:vAlign w:val="top"/>
          </w:tcPr>
          <w:p>
            <w:r/>
            <w:r>
              <w:rPr>
                <w:b w:val="0"/>
                <w:sz w:val="18"/>
              </w:rPr>
              <w:t>Gleiche linke und rechte Flanken zeigen, dass zwei interne Exons alternative Besetzungen desselben lokalen Transkriptabschnitts sind.</w:t>
            </w:r>
          </w:p>
        </w:tc>
        <w:tc>
          <w:tcPr>
            <w:tcW w:type="dxa" w:w="3360"/>
            <w:vAlign w:val="top"/>
          </w:tcPr>
          <w:p>
            <w:r/>
            <w:r>
              <w:rPr>
                <w:b w:val="0"/>
                <w:sz w:val="18"/>
              </w:rPr>
              <w:t>Mutually exclusive Splicing wird strukturell als alternative Exonwahl innerhalb eines gemeinsamen Kontexts beschrieben (Baralle &amp; Giudice, 2017).</w:t>
            </w:r>
          </w:p>
        </w:tc>
      </w:tr>
      <w:tr>
        <w:tc>
          <w:tcPr>
            <w:tcW w:type="dxa" w:w="3360"/>
            <w:vAlign w:val="top"/>
          </w:tcPr>
          <w:p>
            <w:r/>
            <w:r>
              <w:rPr>
                <w:b w:val="0"/>
                <w:sz w:val="18"/>
              </w:rPr>
              <w:t>Keine erzwungene Klassifikation</w:t>
            </w:r>
          </w:p>
        </w:tc>
        <w:tc>
          <w:tcPr>
            <w:tcW w:type="dxa" w:w="3360"/>
            <w:vAlign w:val="top"/>
          </w:tcPr>
          <w:p>
            <w:r/>
            <w:r>
              <w:rPr>
                <w:b w:val="0"/>
                <w:sz w:val="18"/>
              </w:rPr>
              <w:t>Unklare Fälle bleiben ambiguous oder unclassified.</w:t>
            </w:r>
          </w:p>
        </w:tc>
        <w:tc>
          <w:tcPr>
            <w:tcW w:type="dxa" w:w="3360"/>
            <w:vAlign w:val="top"/>
          </w:tcPr>
          <w:p>
            <w:r/>
            <w:r>
              <w:rPr>
                <w:b w:val="0"/>
                <w:sz w:val="18"/>
              </w:rPr>
              <w:t>Dies unterstützt eine annotation-aware Analyse, in der Unsicherheit dokumentiert statt versteckt wird.</w:t>
            </w:r>
          </w:p>
        </w:tc>
      </w:tr>
      <w:tr>
        <w:tc>
          <w:tcPr>
            <w:tcW w:type="dxa" w:w="3360"/>
            <w:vAlign w:val="top"/>
          </w:tcPr>
          <w:p>
            <w:r/>
            <w:r>
              <w:rPr>
                <w:b w:val="0"/>
                <w:sz w:val="18"/>
              </w:rPr>
              <w:t>Warnings-Datei</w:t>
            </w:r>
          </w:p>
        </w:tc>
        <w:tc>
          <w:tcPr>
            <w:tcW w:type="dxa" w:w="3360"/>
            <w:vAlign w:val="top"/>
          </w:tcPr>
          <w:p>
            <w:r/>
            <w:r>
              <w:rPr>
                <w:b w:val="0"/>
                <w:sz w:val="18"/>
              </w:rPr>
              <w:t>Ausschlüsse und Sonderfälle werden maschinenlesbar dokumentiert.</w:t>
            </w:r>
          </w:p>
        </w:tc>
        <w:tc>
          <w:tcPr>
            <w:tcW w:type="dxa" w:w="3360"/>
            <w:vAlign w:val="top"/>
          </w:tcPr>
          <w:p>
            <w:r/>
            <w:r>
              <w:rPr>
                <w:b w:val="0"/>
                <w:sz w:val="18"/>
              </w:rPr>
              <w:t>Reproduzierbarkeit und FAIR-Prinzipien verlangen nachvollziehbare Metadaten und transparente Verarbeitungsschritte (Wilkinson et al., 2016).</w:t>
            </w:r>
          </w:p>
        </w:tc>
      </w:tr>
      <w:tr>
        <w:tc>
          <w:tcPr>
            <w:tcW w:type="dxa" w:w="3360"/>
            <w:vAlign w:val="top"/>
          </w:tcPr>
          <w:p>
            <w:r/>
            <w:r>
              <w:rPr>
                <w:b w:val="0"/>
                <w:sz w:val="18"/>
              </w:rPr>
              <w:t>Run-Metadaten</w:t>
            </w:r>
          </w:p>
        </w:tc>
        <w:tc>
          <w:tcPr>
            <w:tcW w:type="dxa" w:w="3360"/>
            <w:vAlign w:val="top"/>
          </w:tcPr>
          <w:p>
            <w:r/>
            <w:r>
              <w:rPr>
                <w:b w:val="0"/>
                <w:sz w:val="18"/>
              </w:rPr>
              <w:t>Parameter und Inputgrößen werden gespeichert.</w:t>
            </w:r>
          </w:p>
        </w:tc>
        <w:tc>
          <w:tcPr>
            <w:tcW w:type="dxa" w:w="3360"/>
            <w:vAlign w:val="top"/>
          </w:tcPr>
          <w:p>
            <w:r/>
            <w:r>
              <w:rPr>
                <w:b w:val="0"/>
                <w:sz w:val="18"/>
              </w:rPr>
              <w:t>Dies erleichtert die spätere Wiederholung der Analyse und den Vergleich von Pipeline-Läufen.</w:t>
            </w:r>
          </w:p>
        </w:tc>
      </w:tr>
      <w:tr>
        <w:tc>
          <w:tcPr>
            <w:tcW w:type="dxa" w:w="3360"/>
            <w:vAlign w:val="top"/>
          </w:tcPr>
          <w:p>
            <w:r/>
            <w:r>
              <w:rPr>
                <w:b w:val="0"/>
                <w:sz w:val="18"/>
              </w:rPr>
              <w:t>Markdown/HTML-Report</w:t>
            </w:r>
          </w:p>
        </w:tc>
        <w:tc>
          <w:tcPr>
            <w:tcW w:type="dxa" w:w="3360"/>
            <w:vAlign w:val="top"/>
          </w:tcPr>
          <w:p>
            <w:r/>
            <w:r>
              <w:rPr>
                <w:b w:val="0"/>
                <w:sz w:val="18"/>
              </w:rPr>
              <w:t>Ergebnisse werden zusätzlich für menschliche Inspektion zusammengefasst.</w:t>
            </w:r>
          </w:p>
        </w:tc>
        <w:tc>
          <w:tcPr>
            <w:tcW w:type="dxa" w:w="3360"/>
            <w:vAlign w:val="top"/>
          </w:tcPr>
          <w:p>
            <w:r/>
            <w:r>
              <w:rPr>
                <w:b w:val="0"/>
                <w:sz w:val="18"/>
              </w:rPr>
              <w:t>Dies verbessert Auditierbarkeit und Interpretation der Pipeline-Ergebnisse.</w:t>
            </w:r>
          </w:p>
        </w:tc>
      </w:tr>
      <w:tr>
        <w:tc>
          <w:tcPr>
            <w:tcW w:type="dxa" w:w="3360"/>
            <w:vAlign w:val="top"/>
          </w:tcPr>
          <w:p>
            <w:r/>
            <w:r>
              <w:rPr>
                <w:b w:val="0"/>
                <w:sz w:val="18"/>
              </w:rPr>
              <w:t>Summary-Plot</w:t>
            </w:r>
          </w:p>
        </w:tc>
        <w:tc>
          <w:tcPr>
            <w:tcW w:type="dxa" w:w="3360"/>
            <w:vAlign w:val="top"/>
          </w:tcPr>
          <w:p>
            <w:r/>
            <w:r>
              <w:rPr>
                <w:b w:val="0"/>
                <w:sz w:val="18"/>
              </w:rPr>
              <w:t>Isoform-Klassifikationen pro Species werden visuell kontrollierbar.</w:t>
            </w:r>
          </w:p>
        </w:tc>
        <w:tc>
          <w:tcPr>
            <w:tcW w:type="dxa" w:w="3360"/>
            <w:vAlign w:val="top"/>
          </w:tcPr>
          <w:p>
            <w:r/>
            <w:r>
              <w:rPr>
                <w:b w:val="0"/>
                <w:sz w:val="18"/>
              </w:rPr>
              <w:t>Matplotlib ist ein etabliertes Werkzeug für reproduzierbare wissenschaftliche Visualisierung (Hunter, 2007).</w:t>
            </w:r>
          </w:p>
        </w:tc>
      </w:tr>
      <w:tr>
        <w:tc>
          <w:tcPr>
            <w:tcW w:type="dxa" w:w="3360"/>
            <w:vAlign w:val="top"/>
          </w:tcPr>
          <w:p>
            <w:r/>
            <w:r>
              <w:rPr>
                <w:b w:val="0"/>
                <w:sz w:val="18"/>
              </w:rPr>
              <w:t>Tests mit pytest</w:t>
            </w:r>
          </w:p>
        </w:tc>
        <w:tc>
          <w:tcPr>
            <w:tcW w:type="dxa" w:w="3360"/>
            <w:vAlign w:val="top"/>
          </w:tcPr>
          <w:p>
            <w:r/>
            <w:r>
              <w:rPr>
                <w:b w:val="0"/>
                <w:sz w:val="18"/>
              </w:rPr>
              <w:t>Plus-/Minus-Strang, Multi-Alt-Exons, flexible Exon-ID-Verknüpfung und Reports werden automatisch geprüft.</w:t>
            </w:r>
          </w:p>
        </w:tc>
        <w:tc>
          <w:tcPr>
            <w:tcW w:type="dxa" w:w="3360"/>
            <w:vAlign w:val="top"/>
          </w:tcPr>
          <w:p>
            <w:r/>
            <w:r>
              <w:rPr>
                <w:b w:val="0"/>
                <w:sz w:val="18"/>
              </w:rPr>
              <w:t>Automatisierte Tests reduzieren stille Pipeline-Fehler; pytest unterstützt kleine und skalierbare Tests.</w:t>
            </w:r>
          </w:p>
        </w:tc>
      </w:tr>
    </w:tbl>
    <w:p/>
    <w:p>
      <w:pPr>
        <w:pStyle w:val="Heading1"/>
      </w:pPr>
      <w:r>
        <w:t>5. Qualitätssicherung und Tests</w:t>
      </w:r>
    </w:p>
    <w:p>
      <w:r>
        <w:t>Für das verbesserte Script wurde eine pytest-Test-Suite erstellt. Die Tests prüfen nicht nur einfache Erfolgsfälle, sondern insbesondere biologische und annotationelle Edge Cases.</w:t>
      </w:r>
    </w:p>
    <w:p>
      <w:pPr>
        <w:pStyle w:val="ListBullet"/>
      </w:pPr>
      <w:r>
        <w:t>Plus-Strang-Klassifikation: niedrigere Koordinate im Slot wird als IIIb erkannt.</w:t>
      </w:r>
    </w:p>
    <w:p>
      <w:pPr>
        <w:pStyle w:val="ListBullet"/>
      </w:pPr>
      <w:r>
        <w:t>Minus-Strang-Klassifikation: höhere genomische Koordinate wird aufgrund der Transkriptrichtung als IIIb erkannt.</w:t>
      </w:r>
    </w:p>
    <w:p>
      <w:pPr>
        <w:pStyle w:val="ListBullet"/>
      </w:pPr>
      <w:r>
        <w:t>Flexible Exon-ID-Verknüpfung über transcript_id_internal, internal_transcript_id, parent_transcript_id und weitere mögliche Spalten.</w:t>
      </w:r>
    </w:p>
    <w:p>
      <w:pPr>
        <w:pStyle w:val="ListBullet"/>
      </w:pPr>
      <w:r>
        <w:t>Transkripte mit beiden alternativen Exons werden als ambiguous markiert.</w:t>
      </w:r>
    </w:p>
    <w:p>
      <w:pPr>
        <w:pStyle w:val="ListBullet"/>
      </w:pPr>
      <w:r>
        <w:t>Slots mit mehr als zwei alternativen Exons erzeugen eine Warnung.</w:t>
      </w:r>
    </w:p>
    <w:p>
      <w:pPr>
        <w:pStyle w:val="ListBullet"/>
      </w:pPr>
      <w:r>
        <w:t>Strict Mode bricht bei fehlenden Pflichtspalten ab.</w:t>
      </w:r>
    </w:p>
    <w:p>
      <w:pPr>
        <w:pStyle w:val="ListBullet"/>
      </w:pPr>
      <w:r>
        <w:t>Report-, Metadata- und Plot-Dateien werden erzeugt.</w:t>
      </w:r>
    </w:p>
    <w:p>
      <w:r>
        <w:t>Damit wird sichergestellt, dass die Klassifikation nicht nur für ideale Testdaten, sondern auch für typische Annotationprobleme kontrolliert reagiert.</w:t>
      </w:r>
    </w:p>
    <w:p>
      <w:pPr>
        <w:pStyle w:val="Heading1"/>
      </w:pPr>
      <w:r>
        <w:t>6. Methodentext für die Bachelorarbeit</w:t>
      </w:r>
    </w:p>
    <w:p>
      <w:r>
        <w:t>Zur Generierung einer strukturellen IIIb/IIIc-Isoform-Evidenz wurde ein exonbasierter Klassifikationsschritt implementiert. FGFR2 IIIb und IIIc entstehen durch mutually exclusive inclusion zweier alternativer Exons in der IgIII/D3-Region. Daher wurden innerhalb jedes Species- und Datenquellen-spezifischen Genmodells interne Exons auf cassette-artige Muster untersucht, bei denen zwei alternative Exons dieselben unmittelbaren flankierenden Exons teilen. Diese strukturelle Herangehensweise wurde gewählt, um die Klassifikation weniger abhängig von datenbankspezifischen Transcriptnamen oder Isoformlabels zu machen.</w:t>
      </w:r>
    </w:p>
    <w:p>
      <w:r>
        <w:t>Die Klassifikation erfolgte bewusst innerhalb einzelner Species und Datenquellen, da genomische Koordinaten zwischen unterschiedlichen Assemblies und Organismen nicht direkt vergleichbar sind. Ein Kandidaten-Slot wurde nur dann als FGFR2-IIIb/IIIc-Slot betrachtet, wenn mindestens zwei alternative interne Exons in einem plausiblen Längenbereich identifiziert wurden und diese denselben lokalen Flankenkontext aufwiesen. Die Richtung der Isoformzuordnung wurde anhand der etablierten FGFR2-Exon-Nomenklatur kalibriert: Das erste alternative Exon in Transkriptreihenfolge wurde als IIIb-assoziiertes Exon interpretiert, das zweite als IIIc-assoziiertes Exon.</w:t>
      </w:r>
    </w:p>
    <w:p>
      <w:r>
        <w:t>Transkripte mit ausschließlich dem IIIb-assoziierten Exon wurden als IIIb klassifiziert, Transkripte mit ausschließlich dem IIIc-assoziierten Exon als IIIc. Transkripte mit beiden alternativen Exons oder nicht eindeutig zuordenbaren Strukturen wurden als ambiguous markiert. Wenn kein geeigneter mutually exclusive Exon-Slot erkannt wurde, wurde keine erzwungene Zuordnung vorgenommen. Zusätzlich wurden Warnungen, Laufparameter und Audit-Tabellen erzeugt, sodass die Klassifikation reproduzierbar und annotation-aware interpretiert werden kann.</w:t>
      </w:r>
    </w:p>
    <w:p>
      <w:pPr>
        <w:pStyle w:val="Heading1"/>
      </w:pPr>
      <w:r>
        <w:t>7. Limitierungen</w:t>
      </w:r>
    </w:p>
    <w:p>
      <w:pPr>
        <w:pStyle w:val="ListBullet"/>
      </w:pPr>
      <w:r>
        <w:t>Die Methode erkennt strukturelle Evidenz in vorhandenen Annotationen; sie validiert keine Transkripte experimentell.</w:t>
      </w:r>
    </w:p>
    <w:p>
      <w:pPr>
        <w:pStyle w:val="ListBullet"/>
      </w:pPr>
      <w:r>
        <w:t>Leicht verschobene Exon-Grenzen können die Slot-Erkennung erschweren, wenn flankierende Exons nicht exakt übereinstimmen.</w:t>
      </w:r>
    </w:p>
    <w:p>
      <w:pPr>
        <w:pStyle w:val="ListBullet"/>
      </w:pPr>
      <w:r>
        <w:t>Die Zuordnung IIIb/IIIc beruht auf der etablierten humanen FGFR2-Exonordnung und wird auf Orthologe übertragen.</w:t>
      </w:r>
    </w:p>
    <w:p>
      <w:pPr>
        <w:pStyle w:val="ListBullet"/>
      </w:pPr>
      <w:r>
        <w:t>Wenn Annotationen fragmentiert sind oder nur eine Isoform enthalten, kann die Methode keine vollständige IIIb/IIIc-Paarung rekonstruieren.</w:t>
      </w:r>
    </w:p>
    <w:p>
      <w:pPr>
        <w:pStyle w:val="ListBullet"/>
      </w:pPr>
      <w:r>
        <w:t>Ambiguous- und unclassified-Fälle sind keine Fehler, sondern markieren Fälle mit unzureichender oder widersprüchlicher Evidenz.</w:t>
      </w:r>
    </w:p>
    <w:p>
      <w:pPr>
        <w:pStyle w:val="Heading1"/>
      </w:pPr>
      <w:r>
        <w:t>8. Was als Nächstes getan werden sollte</w:t>
      </w:r>
    </w:p>
    <w:p>
      <w:r>
        <w:t>Nach diesem Schritt ist der nächste praktische Pipeline-Schritt, Script 3 erneut mit der strukturellen Isoform-Evidenz auszuführen:</w:t>
      </w:r>
    </w:p>
    <w:p>
      <w:pPr>
        <w:ind w:left="360"/>
      </w:pPr>
      <w:r>
        <w:rPr>
          <w:rFonts w:ascii="Courier New" w:hAnsi="Courier New" w:eastAsia="Courier New"/>
          <w:sz w:val="18"/>
        </w:rPr>
        <w:t>python select_fgfr2_transcripts_annotation_aware_v2.py \</w:t>
        <w:br/>
        <w:t xml:space="preserve">  --transcripts transcripts.tsv \</w:t>
        <w:br/>
        <w:t xml:space="preserve">  --exons exons.tsv \</w:t>
        <w:br/>
        <w:t xml:space="preserve">  --isoform_evidence fgfr2_isoform_evidence/fgfr2_isoform_evidence.tsv \</w:t>
        <w:br/>
        <w:t xml:space="preserve">  --outdir fgfr2_transcript_selection_with_isoforms \</w:t>
        <w:br/>
        <w:t xml:space="preserve">  --strict</w:t>
      </w:r>
    </w:p>
    <w:p>
      <w:r>
        <w:t>Danach sollten die ausgewählten Referenz-, IIIb- und IIIc-Transkripte kontrolliert werden. Erst wenn diese Auswahl plausibel ist, sollte mit dem Protein-FASTA-Export und InterProScan fortgefahren werden.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Nächster Schritt</w:t>
            </w:r>
          </w:p>
        </w:tc>
        <w:tc>
          <w:tcPr>
            <w:tcW w:type="dxa" w:w="3360"/>
            <w:shd w:fill="D9EAF7"/>
            <w:vAlign w:val="center"/>
          </w:tcPr>
          <w:p>
            <w:r/>
            <w:r>
              <w:rPr>
                <w:b/>
                <w:sz w:val="18"/>
              </w:rPr>
              <w:t>Ziel</w:t>
            </w:r>
          </w:p>
        </w:tc>
        <w:tc>
          <w:tcPr>
            <w:tcW w:type="dxa" w:w="3360"/>
            <w:shd w:fill="D9EAF7"/>
            <w:vAlign w:val="center"/>
          </w:tcPr>
          <w:p>
            <w:r/>
            <w:r>
              <w:rPr>
                <w:b/>
                <w:sz w:val="18"/>
              </w:rPr>
              <w:t>Warum wichtig</w:t>
            </w:r>
          </w:p>
        </w:tc>
      </w:tr>
      <w:tr>
        <w:tc>
          <w:tcPr>
            <w:tcW w:type="dxa" w:w="3360"/>
            <w:vAlign w:val="top"/>
          </w:tcPr>
          <w:p>
            <w:r/>
            <w:r>
              <w:rPr>
                <w:b w:val="0"/>
                <w:sz w:val="18"/>
              </w:rPr>
              <w:t>Script 3 erneut ausführen</w:t>
            </w:r>
          </w:p>
        </w:tc>
        <w:tc>
          <w:tcPr>
            <w:tcW w:type="dxa" w:w="3360"/>
            <w:vAlign w:val="top"/>
          </w:tcPr>
          <w:p>
            <w:r/>
            <w:r>
              <w:rPr>
                <w:b w:val="0"/>
                <w:sz w:val="18"/>
              </w:rPr>
              <w:t>IIIb/IIIc-Evidence in finale Transkriptauswahl integrieren</w:t>
            </w:r>
          </w:p>
        </w:tc>
        <w:tc>
          <w:tcPr>
            <w:tcW w:type="dxa" w:w="3360"/>
            <w:vAlign w:val="top"/>
          </w:tcPr>
          <w:p>
            <w:r/>
            <w:r>
              <w:rPr>
                <w:b w:val="0"/>
                <w:sz w:val="18"/>
              </w:rPr>
              <w:t>ermöglicht high-confidence IIIb/IIIc-Kandidaten</w:t>
            </w:r>
          </w:p>
        </w:tc>
      </w:tr>
      <w:tr>
        <w:tc>
          <w:tcPr>
            <w:tcW w:type="dxa" w:w="3360"/>
            <w:vAlign w:val="top"/>
          </w:tcPr>
          <w:p>
            <w:r/>
            <w:r>
              <w:rPr>
                <w:b w:val="0"/>
                <w:sz w:val="18"/>
              </w:rPr>
              <w:t>Manueller QC-Bericht prüfen</w:t>
            </w:r>
          </w:p>
        </w:tc>
        <w:tc>
          <w:tcPr>
            <w:tcW w:type="dxa" w:w="3360"/>
            <w:vAlign w:val="top"/>
          </w:tcPr>
          <w:p>
            <w:r/>
            <w:r>
              <w:rPr>
                <w:b w:val="0"/>
                <w:sz w:val="18"/>
              </w:rPr>
              <w:t>selected_transcripts, warnings und HTML/Markdown-Reports prüfen</w:t>
            </w:r>
          </w:p>
        </w:tc>
        <w:tc>
          <w:tcPr>
            <w:tcW w:type="dxa" w:w="3360"/>
            <w:vAlign w:val="top"/>
          </w:tcPr>
          <w:p>
            <w:r/>
            <w:r>
              <w:rPr>
                <w:b w:val="0"/>
                <w:sz w:val="18"/>
              </w:rPr>
              <w:t>verhindert, dass fragliche Species ungeprüft weiterlaufen</w:t>
            </w:r>
          </w:p>
        </w:tc>
      </w:tr>
      <w:tr>
        <w:tc>
          <w:tcPr>
            <w:tcW w:type="dxa" w:w="3360"/>
            <w:vAlign w:val="top"/>
          </w:tcPr>
          <w:p>
            <w:r/>
            <w:r>
              <w:rPr>
                <w:b w:val="0"/>
                <w:sz w:val="18"/>
              </w:rPr>
              <w:t>Kleiner End-to-End-Test mit 3-5 Species</w:t>
            </w:r>
          </w:p>
        </w:tc>
        <w:tc>
          <w:tcPr>
            <w:tcW w:type="dxa" w:w="3360"/>
            <w:vAlign w:val="top"/>
          </w:tcPr>
          <w:p>
            <w:r/>
            <w:r>
              <w:rPr>
                <w:b w:val="0"/>
                <w:sz w:val="18"/>
              </w:rPr>
              <w:t>Pipeline-Kompatibilität prüfen</w:t>
            </w:r>
          </w:p>
        </w:tc>
        <w:tc>
          <w:tcPr>
            <w:tcW w:type="dxa" w:w="3360"/>
            <w:vAlign w:val="top"/>
          </w:tcPr>
          <w:p>
            <w:r/>
            <w:r>
              <w:rPr>
                <w:b w:val="0"/>
                <w:sz w:val="18"/>
              </w:rPr>
              <w:t>findet Dateiformat- und Spaltenprobleme früh</w:t>
            </w:r>
          </w:p>
        </w:tc>
      </w:tr>
      <w:tr>
        <w:tc>
          <w:tcPr>
            <w:tcW w:type="dxa" w:w="3360"/>
            <w:vAlign w:val="top"/>
          </w:tcPr>
          <w:p>
            <w:r/>
            <w:r>
              <w:rPr>
                <w:b w:val="0"/>
                <w:sz w:val="18"/>
              </w:rPr>
              <w:t>Dann Script 6 analysieren/verbessern</w:t>
            </w:r>
          </w:p>
        </w:tc>
        <w:tc>
          <w:tcPr>
            <w:tcW w:type="dxa" w:w="3360"/>
            <w:vAlign w:val="top"/>
          </w:tcPr>
          <w:p>
            <w:r/>
            <w:r>
              <w:rPr>
                <w:b w:val="0"/>
                <w:sz w:val="18"/>
              </w:rPr>
              <w:t>export_selected_fgfr2_proteins_complete.py</w:t>
            </w:r>
          </w:p>
        </w:tc>
        <w:tc>
          <w:tcPr>
            <w:tcW w:type="dxa" w:w="3360"/>
            <w:vAlign w:val="top"/>
          </w:tcPr>
          <w:p>
            <w:r/>
            <w:r>
              <w:rPr>
                <w:b w:val="0"/>
                <w:sz w:val="18"/>
              </w:rPr>
              <w:t>bereitet Proteinsequenzen für InterProScan vor</w:t>
            </w:r>
          </w:p>
        </w:tc>
      </w:tr>
    </w:tbl>
    <w:p/>
    <w:p>
      <w:pPr>
        <w:pStyle w:val="Heading1"/>
      </w:pPr>
      <w:r>
        <w:t>9. Literatur</w:t>
      </w:r>
    </w:p>
    <w:p>
      <w:pPr>
        <w:pStyle w:val="ListNumber"/>
      </w:pPr>
      <w:r>
        <w:rPr>
          <w:sz w:val="18"/>
        </w:rPr>
        <w:t>Baralle, F. E., &amp; Giudice, J. (2017). Alternative splicing as a regulator of development and tissue identity. Nature Reviews Molecular Cell Biology, 18, 437-451. https://doi.org/10.1038/nrm.2017.27</w:t>
      </w:r>
    </w:p>
    <w:p>
      <w:pPr>
        <w:pStyle w:val="ListNumber"/>
      </w:pPr>
      <w:r>
        <w:rPr>
          <w:sz w:val="18"/>
        </w:rPr>
        <w:t>Baraniak, A. P., Chen, J. R., &amp; Garcia-Blanco, M. A. (2003). A stem structure in fibroblast growth factor receptor 2 transcripts mediates cell-type-specific splicing by approximating intronic control elements. Molecular and Cellular Biology, 23(24), 9327-9337. https://doi.org/10.1128/MCB.23.24.9327-9337.2003</w:t>
      </w:r>
    </w:p>
    <w:p>
      <w:pPr>
        <w:pStyle w:val="ListNumber"/>
      </w:pPr>
      <w:r>
        <w:rPr>
          <w:sz w:val="18"/>
        </w:rPr>
        <w:t>Holzmann, K., et al. (2012). Alternative splicing of fibroblast growth factor receptor IgIII loops in cancer. International Journal of Cell Biology, 2012, 950508. https://doi.org/10.1155/2012/950508</w:t>
      </w:r>
    </w:p>
    <w:p>
      <w:pPr>
        <w:pStyle w:val="ListNumber"/>
      </w:pPr>
      <w:r>
        <w:rPr>
          <w:sz w:val="18"/>
        </w:rPr>
        <w:t>Hunter, J. D. (2007). Matplotlib: A 2D graphics environment. Computing in Science &amp; Engineering, 9(3), 90-95. https://doi.org/10.1109/MCSE.2007.55</w:t>
      </w:r>
    </w:p>
    <w:p>
      <w:pPr>
        <w:pStyle w:val="ListNumber"/>
      </w:pPr>
      <w:r>
        <w:rPr>
          <w:sz w:val="18"/>
        </w:rPr>
        <w:t>Jones, R. B., et al. (2001). 5-prime and 3-prime terminal nucleotides in the FGFR2 ISAR splicing element determine exon IIIb inclusion. Nucleic Acids Research, 29(17), 3557-3565. https://doi.org/10.1093/nar/29.17.3557</w:t>
      </w:r>
    </w:p>
    <w:p>
      <w:pPr>
        <w:pStyle w:val="ListNumber"/>
      </w:pPr>
      <w:r>
        <w:rPr>
          <w:sz w:val="18"/>
        </w:rPr>
        <w:t>Warzecha, C. C., et al. (2009). ESRP1 and ESRP2 are epithelial cell-type-specific regulators of FGFR2 splicing. Molecular Cell, 33(5), 591-601. https://doi.org/10.1016/j.molcel.2009.01.025</w:t>
      </w:r>
    </w:p>
    <w:p>
      <w:pPr>
        <w:pStyle w:val="ListNumber"/>
      </w:pPr>
      <w:r>
        <w:rPr>
          <w:sz w:val="18"/>
        </w:rPr>
        <w:t>Wagner, E. J., et al. (2005). Characterization of the intronic splicing silencers flanking FGFR2 exon IIIb. Journal of Biological Chemistry, 280(14), 14017-14027. https://doi.org/10.1074/jbc.M414536200</w:t>
      </w:r>
    </w:p>
    <w:p>
      <w:pPr>
        <w:pStyle w:val="ListNumber"/>
      </w:pPr>
      <w:r>
        <w:rPr>
          <w:sz w:val="18"/>
        </w:rPr>
        <w:t>Wilkinson, M. D., et al. (2016). The FAIR Guiding Principles for scientific data management and stewardship. Scientific Data, 3, 160018. https://doi.org/10.1038/sdata.2016.18</w:t>
      </w:r>
    </w:p>
    <w:p>
      <w:pPr>
        <w:pStyle w:val="ListNumber"/>
      </w:pPr>
      <w:r>
        <w:rPr>
          <w:sz w:val="18"/>
        </w:rPr>
        <w:t>pytest documentation. pytest: helps you write better programs. https://docs.pytest.org/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Methodenbeschreibung Script 4 – FGFR2 IIIb/IIIc Exonstruktur-Klassifikation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