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Methodenbeschreibung: Annotation-aware FGFR2-Modellsammlung aus Ensembl und NCBI</w:t>
      </w:r>
    </w:p>
    <w:p>
      <w:pPr>
        <w:jc w:val="center"/>
      </w:pPr>
      <w:r>
        <w:rPr>
          <w:i/>
          <w:sz w:val="22"/>
        </w:rPr>
        <w:t>Pipeline-Schritt 2: collect_fgfr2_models_dual_source_v3.py</w:t>
      </w:r>
    </w:p>
    <w:p>
      <w:r>
        <w:rPr>
          <w:b/>
        </w:rPr>
        <w:t xml:space="preserve">Kontext der Bachelorarbeit. </w:t>
      </w:r>
      <w:r>
        <w:t>Dieser Text beschreibt den zweiten Schritt der Pipeline für die Bachelorarbeit "An Annotation-Aware Framework for Assessing the Consistency and Robustness of Exon-Domain Boundary Identification Across Vertebrate Orthologs: FGFR2 IIIb/IIIc as a Case Study". Der Abschnitt ist so formuliert, dass er direkt oder leicht angepasst im Methoden- und Qualitätssicherungsteil der Arbeit verwendet werden kann.</w:t>
      </w:r>
    </w:p>
    <w:p>
      <w:pPr>
        <w:pStyle w:val="Heading1"/>
      </w:pPr>
      <w:r>
        <w:t>1. Ziel des Pipeline-Schritts</w:t>
      </w:r>
    </w:p>
    <w:p>
      <w:r>
        <w:t>Ziel dieses Pipeline-Schritts ist die kontrollierte Sammlung und Bewertung von FGFR2-Genmodellen für alle Arten der zuvor erzeugten Species Registry. Dabei werden zwei komplementäre Datenquellen verwendet: Ensembl und NCBI. Der Schritt ist bewusst nicht als einfache Datenübernahme implementiert, sondern als annotation-aware Vergleichsschritt, der Modellverfügbarkeit, Transkriptstruktur, Exoninformationen, Protein- bzw. CDS-Unterstützung und Datenquellenkonflikte dokumentiert.</w:t>
      </w:r>
    </w:p>
    <w:p>
      <w:r>
        <w:t>Die zentrale methodische Idee besteht darin, für jede Species ein möglichst belastbares Ausgangsmodell für die weitere Analyse zu bestimmen, ohne Unsicherheiten zu verdecken. Falls Ensembl- und NCBI-Modelle voneinander abweichen oder eine Quelle unvollständig ist, wird dies in separaten Tabellen dokumentiert und in späteren Robustheitsanalysen berücksichtigt.</w:t>
      </w:r>
    </w:p>
    <w:p>
      <w:pPr>
        <w:pStyle w:val="Heading1"/>
      </w:pPr>
      <w:r>
        <w:t>2. Input und Output</w:t>
      </w:r>
    </w:p>
    <w:p>
      <w:pPr>
        <w:pStyle w:val="Heading2"/>
      </w:pPr>
      <w:r>
        <w:t>2.1 Input</w:t>
      </w:r>
    </w:p>
    <w:p>
      <w:pPr>
        <w:pStyle w:val="ListBullet"/>
      </w:pPr>
      <w:r>
        <w:t>species_registry.tsv: zentrale Referenztabelle aus Pipeline-Schritt 1 mit Species-Namen, datenbankspezifischen Bezeichnungen, Taxon-IDs, bevorzugter Quelle und Assembly-Präferenz.</w:t>
      </w:r>
    </w:p>
    <w:p>
      <w:pPr>
        <w:pStyle w:val="ListBullet"/>
      </w:pPr>
      <w:r>
        <w:t>Ensembl REST API: programmatischer Zugriff auf Gen-, Transkript-, Exon- und Translationinformationen.</w:t>
      </w:r>
    </w:p>
    <w:p>
      <w:pPr>
        <w:pStyle w:val="ListBullet"/>
      </w:pPr>
      <w:r>
        <w:t>NCBI Gene/Protein Evidence und optional NCBI Datasets: Zugriff auf Gene-Evidence, Assembly-Metadaten und GFF3-basierte Annotationen.</w:t>
      </w:r>
    </w:p>
    <w:p>
      <w:pPr>
        <w:pStyle w:val="ListBullet"/>
      </w:pPr>
      <w:r>
        <w:t>Optionale lokale oder temporäre GFF3-Dateien aus NCBI Datasets, falls NCBI-Modelle strukturell ausgewertet werden können.</w:t>
      </w:r>
    </w:p>
    <w:p>
      <w:pPr>
        <w:pStyle w:val="Heading2"/>
      </w:pPr>
      <w:r>
        <w:t>2.2 Output</w:t>
      </w:r>
    </w:p>
    <w:tbl>
      <w:tblPr>
        <w:tblStyle w:val="TableGrid"/>
        <w:tblW w:type="auto" w:w="0"/>
        <w:jc w:val="center"/>
        <w:tblLook w:firstColumn="1" w:firstRow="1" w:lastColumn="0" w:lastRow="0" w:noHBand="0" w:noVBand="1" w:val="04A0"/>
      </w:tblPr>
      <w:tblGrid>
        <w:gridCol w:w="4703"/>
        <w:gridCol w:w="4703"/>
      </w:tblGrid>
      <w:tr>
        <w:tc>
          <w:tcPr>
            <w:tcW w:type="dxa" w:w="4703"/>
            <w:shd w:fill="D9EAF7"/>
          </w:tcPr>
          <w:p>
            <w:pPr>
              <w:spacing w:after="40"/>
            </w:pPr>
            <w:r>
              <w:rPr>
                <w:sz w:val="19"/>
              </w:rPr>
            </w:r>
            <w:r>
              <w:rPr>
                <w:b/>
                <w:sz w:val="19"/>
              </w:rPr>
              <w:t>Datei</w:t>
            </w:r>
          </w:p>
        </w:tc>
        <w:tc>
          <w:tcPr>
            <w:tcW w:type="dxa" w:w="4703"/>
            <w:shd w:fill="D9EAF7"/>
          </w:tcPr>
          <w:p>
            <w:pPr>
              <w:spacing w:after="40"/>
            </w:pPr>
            <w:r>
              <w:rPr>
                <w:sz w:val="19"/>
              </w:rPr>
            </w:r>
            <w:r>
              <w:rPr>
                <w:b/>
                <w:sz w:val="19"/>
              </w:rPr>
              <w:t>Inhalt</w:t>
            </w:r>
          </w:p>
        </w:tc>
      </w:tr>
      <w:tr>
        <w:tc>
          <w:tcPr>
            <w:tcW w:type="dxa" w:w="4703"/>
            <w:vAlign w:val="top"/>
          </w:tcPr>
          <w:p>
            <w:pPr>
              <w:spacing w:after="40"/>
            </w:pPr>
            <w:r>
              <w:rPr>
                <w:sz w:val="19"/>
              </w:rPr>
            </w:r>
            <w:r>
              <w:rPr>
                <w:b w:val="0"/>
                <w:sz w:val="19"/>
              </w:rPr>
              <w:t>genes.tsv</w:t>
            </w:r>
          </w:p>
        </w:tc>
        <w:tc>
          <w:tcPr>
            <w:tcW w:type="dxa" w:w="4703"/>
            <w:vAlign w:val="top"/>
          </w:tcPr>
          <w:p>
            <w:pPr>
              <w:spacing w:after="40"/>
            </w:pPr>
            <w:r>
              <w:rPr>
                <w:sz w:val="19"/>
              </w:rPr>
            </w:r>
            <w:r>
              <w:rPr>
                <w:b w:val="0"/>
                <w:sz w:val="19"/>
              </w:rPr>
              <w:t>Normalisierte FGFR2-Genmodelle pro Species und Quelle, einschließlich Koordinaten, Symbol, Biotyp, Status und Confidence.</w:t>
            </w:r>
          </w:p>
        </w:tc>
      </w:tr>
      <w:tr>
        <w:tc>
          <w:tcPr>
            <w:tcW w:type="dxa" w:w="4703"/>
            <w:vAlign w:val="top"/>
          </w:tcPr>
          <w:p>
            <w:pPr>
              <w:spacing w:after="40"/>
            </w:pPr>
            <w:r>
              <w:rPr>
                <w:sz w:val="19"/>
              </w:rPr>
            </w:r>
            <w:r>
              <w:rPr>
                <w:b w:val="0"/>
                <w:sz w:val="19"/>
              </w:rPr>
              <w:t>transcripts.tsv</w:t>
            </w:r>
          </w:p>
        </w:tc>
        <w:tc>
          <w:tcPr>
            <w:tcW w:type="dxa" w:w="4703"/>
            <w:vAlign w:val="top"/>
          </w:tcPr>
          <w:p>
            <w:pPr>
              <w:spacing w:after="40"/>
            </w:pPr>
            <w:r>
              <w:rPr>
                <w:sz w:val="19"/>
              </w:rPr>
            </w:r>
            <w:r>
              <w:rPr>
                <w:b w:val="0"/>
                <w:sz w:val="19"/>
              </w:rPr>
              <w:t>Transkriptmodelle mit Transkript-ID, Biotyp, Translation-/CDS-Hinweisen und Proteinlängenangaben.</w:t>
            </w:r>
          </w:p>
        </w:tc>
      </w:tr>
      <w:tr>
        <w:tc>
          <w:tcPr>
            <w:tcW w:type="dxa" w:w="4703"/>
            <w:vAlign w:val="top"/>
          </w:tcPr>
          <w:p>
            <w:pPr>
              <w:spacing w:after="40"/>
            </w:pPr>
            <w:r>
              <w:rPr>
                <w:sz w:val="19"/>
              </w:rPr>
            </w:r>
            <w:r>
              <w:rPr>
                <w:b w:val="0"/>
                <w:sz w:val="19"/>
              </w:rPr>
              <w:t>exons.tsv</w:t>
            </w:r>
          </w:p>
        </w:tc>
        <w:tc>
          <w:tcPr>
            <w:tcW w:type="dxa" w:w="4703"/>
            <w:vAlign w:val="top"/>
          </w:tcPr>
          <w:p>
            <w:pPr>
              <w:spacing w:after="40"/>
            </w:pPr>
            <w:r>
              <w:rPr>
                <w:sz w:val="19"/>
              </w:rPr>
            </w:r>
            <w:r>
              <w:rPr>
                <w:b w:val="0"/>
                <w:sz w:val="19"/>
              </w:rPr>
              <w:t>Exon- und CDS-Featureinformationen, soweit verfügbar, einschließlich Rängen und Koordinaten.</w:t>
            </w:r>
          </w:p>
        </w:tc>
      </w:tr>
      <w:tr>
        <w:tc>
          <w:tcPr>
            <w:tcW w:type="dxa" w:w="4703"/>
            <w:vAlign w:val="top"/>
          </w:tcPr>
          <w:p>
            <w:pPr>
              <w:spacing w:after="40"/>
            </w:pPr>
            <w:r>
              <w:rPr>
                <w:sz w:val="19"/>
              </w:rPr>
            </w:r>
            <w:r>
              <w:rPr>
                <w:b w:val="0"/>
                <w:sz w:val="19"/>
              </w:rPr>
              <w:t>source_comparison.tsv</w:t>
            </w:r>
          </w:p>
        </w:tc>
        <w:tc>
          <w:tcPr>
            <w:tcW w:type="dxa" w:w="4703"/>
            <w:vAlign w:val="top"/>
          </w:tcPr>
          <w:p>
            <w:pPr>
              <w:spacing w:after="40"/>
            </w:pPr>
            <w:r>
              <w:rPr>
                <w:sz w:val="19"/>
              </w:rPr>
            </w:r>
            <w:r>
              <w:rPr>
                <w:b w:val="0"/>
                <w:sz w:val="19"/>
              </w:rPr>
              <w:t>Vergleich zwischen Ensembl- und NCBI-Modellen mit Score-Werten, Übereinstimmungskriterien und angewandter Source-Präferenz.</w:t>
            </w:r>
          </w:p>
        </w:tc>
      </w:tr>
      <w:tr>
        <w:tc>
          <w:tcPr>
            <w:tcW w:type="dxa" w:w="4703"/>
            <w:vAlign w:val="top"/>
          </w:tcPr>
          <w:p>
            <w:pPr>
              <w:spacing w:after="40"/>
            </w:pPr>
            <w:r>
              <w:rPr>
                <w:sz w:val="19"/>
              </w:rPr>
            </w:r>
            <w:r>
              <w:rPr>
                <w:b w:val="0"/>
                <w:sz w:val="19"/>
              </w:rPr>
              <w:t>selection_decisions.tsv</w:t>
            </w:r>
          </w:p>
        </w:tc>
        <w:tc>
          <w:tcPr>
            <w:tcW w:type="dxa" w:w="4703"/>
            <w:vAlign w:val="top"/>
          </w:tcPr>
          <w:p>
            <w:pPr>
              <w:spacing w:after="40"/>
            </w:pPr>
            <w:r>
              <w:rPr>
                <w:sz w:val="19"/>
              </w:rPr>
            </w:r>
            <w:r>
              <w:rPr>
                <w:b w:val="0"/>
                <w:sz w:val="19"/>
              </w:rPr>
              <w:t>Regelbasierte Entscheidung, welche Quelle pro Species für die weitere Analyse ausgewählt wurde.</w:t>
            </w:r>
          </w:p>
        </w:tc>
      </w:tr>
      <w:tr>
        <w:tc>
          <w:tcPr>
            <w:tcW w:type="dxa" w:w="4703"/>
            <w:vAlign w:val="top"/>
          </w:tcPr>
          <w:p>
            <w:pPr>
              <w:spacing w:after="40"/>
            </w:pPr>
            <w:r>
              <w:rPr>
                <w:sz w:val="19"/>
              </w:rPr>
            </w:r>
            <w:r>
              <w:rPr>
                <w:b w:val="0"/>
                <w:sz w:val="19"/>
              </w:rPr>
              <w:t>annotation_warnings.tsv</w:t>
            </w:r>
          </w:p>
        </w:tc>
        <w:tc>
          <w:tcPr>
            <w:tcW w:type="dxa" w:w="4703"/>
            <w:vAlign w:val="top"/>
          </w:tcPr>
          <w:p>
            <w:pPr>
              <w:spacing w:after="40"/>
            </w:pPr>
            <w:r>
              <w:rPr>
                <w:sz w:val="19"/>
              </w:rPr>
            </w:r>
            <w:r>
              <w:rPr>
                <w:b w:val="0"/>
                <w:sz w:val="19"/>
              </w:rPr>
              <w:t>Warnungen und Unsicherheiten, z. B. fehlende Transkripte, fehlende GFF3-Annotationen oder widersprüchliche Modelle.</w:t>
            </w:r>
          </w:p>
        </w:tc>
      </w:tr>
      <w:tr>
        <w:tc>
          <w:tcPr>
            <w:tcW w:type="dxa" w:w="4703"/>
            <w:vAlign w:val="top"/>
          </w:tcPr>
          <w:p>
            <w:pPr>
              <w:spacing w:after="40"/>
            </w:pPr>
            <w:r>
              <w:rPr>
                <w:sz w:val="19"/>
              </w:rPr>
            </w:r>
            <w:r>
              <w:rPr>
                <w:b w:val="0"/>
                <w:sz w:val="19"/>
              </w:rPr>
              <w:t>internal_consistency_checks.tsv</w:t>
            </w:r>
          </w:p>
        </w:tc>
        <w:tc>
          <w:tcPr>
            <w:tcW w:type="dxa" w:w="4703"/>
            <w:vAlign w:val="top"/>
          </w:tcPr>
          <w:p>
            <w:pPr>
              <w:spacing w:after="40"/>
            </w:pPr>
            <w:r>
              <w:rPr>
                <w:sz w:val="19"/>
              </w:rPr>
            </w:r>
            <w:r>
              <w:rPr>
                <w:b w:val="0"/>
                <w:sz w:val="19"/>
              </w:rPr>
              <w:t>Automatisierte Plausibilitätsprüfungen, z. B. ob Gene, Transkripte und Exons logisch zusammenpassen.</w:t>
            </w:r>
          </w:p>
        </w:tc>
      </w:tr>
      <w:tr>
        <w:tc>
          <w:tcPr>
            <w:tcW w:type="dxa" w:w="4703"/>
            <w:vAlign w:val="top"/>
          </w:tcPr>
          <w:p>
            <w:pPr>
              <w:spacing w:after="40"/>
            </w:pPr>
            <w:r>
              <w:rPr>
                <w:sz w:val="19"/>
              </w:rPr>
            </w:r>
            <w:r>
              <w:rPr>
                <w:b w:val="0"/>
                <w:sz w:val="19"/>
              </w:rPr>
              <w:t>run_metadata.json</w:t>
            </w:r>
          </w:p>
        </w:tc>
        <w:tc>
          <w:tcPr>
            <w:tcW w:type="dxa" w:w="4703"/>
            <w:vAlign w:val="top"/>
          </w:tcPr>
          <w:p>
            <w:pPr>
              <w:spacing w:after="40"/>
            </w:pPr>
            <w:r>
              <w:rPr>
                <w:sz w:val="19"/>
              </w:rPr>
            </w:r>
            <w:r>
              <w:rPr>
                <w:b w:val="0"/>
                <w:sz w:val="19"/>
              </w:rPr>
              <w:t>Metadaten des Pipeline-Laufs, Parameter und technische Informationen zur Reproduzierbarkeit.</w:t>
            </w:r>
          </w:p>
        </w:tc>
      </w:tr>
    </w:tbl>
    <w:p>
      <w:pPr>
        <w:pStyle w:val="Heading1"/>
      </w:pPr>
      <w:r>
        <w:t>3. Algorithmische Vorgehensweise</w:t>
      </w:r>
    </w:p>
    <w:p>
      <w:pPr>
        <w:pStyle w:val="Heading2"/>
      </w:pPr>
      <w:r>
        <w:t>3.1 Abfrage von Ensembl-Modellen</w:t>
      </w:r>
    </w:p>
    <w:p>
      <w:r>
        <w:t>Für Species mit Ensembl-kompatiblem Namen wird Ensembl über die REST API abgefragt. Die API ist für sprachunabhängigen, maschinenlesbaren Zugriff auf Ensembl-Daten konzipiert und unterstützt Formate wie JSON und FASTA [1]. In diesem Pipeline-Schritt werden FGFR2-nahe Genmodelle, Transkripte, Exons und Translationen extrahiert. Die Ergebnisse werden in ein internes Tabellenschema überführt, damit spätere Pipeline-Schritte unabhängig von der ursprünglichen Datenquellenstruktur arbeiten können.</w:t>
      </w:r>
    </w:p>
    <w:p>
      <w:pPr>
        <w:pStyle w:val="Heading2"/>
      </w:pPr>
      <w:r>
        <w:t>3.2 Abfrage und Bewertung von NCBI-Modellen</w:t>
      </w:r>
    </w:p>
    <w:p>
      <w:r>
        <w:t>Für NCBI werden zunächst Gene- und Protein-Evidence sowie Assembly-Informationen berücksichtigt. Falls möglich, wird über NCBI Datasets eine annotierte Assembly mit GFF3-Dateien bezogen. NCBI Datasets stellt gene-, genome- und virusbezogene Datenpakete bereit; Annotationdateien wie GFF3 sind verfügbar, wenn ein annotiertes Genom vorhanden ist und diese Dateien beim Download angefordert werden [2]. RefSeq wird bevorzugt, wenn die Species Registry dies vorsieht, da RefSeq kuratierte, nicht-redundante Referenzsequenzen für Genome, Transkripte und Proteine bereitstellt [3].</w:t>
      </w:r>
    </w:p>
    <w:p>
      <w:pPr>
        <w:pStyle w:val="Heading2"/>
      </w:pPr>
      <w:r>
        <w:t>3.3 Robustes GFF3-Parsing</w:t>
      </w:r>
    </w:p>
    <w:p>
      <w:r>
        <w:t>In Version 3 wurde das GFF3-Parsing robuster gestaltet. Attribute werden URL-dekodiert, Synonymlisten werden getrennt ausgewertet, und Multi-Parent-Beziehungen wie Parent=tx1,tx2 werden unterstützt. Dadurch reduziert sich das Risiko, FGFR2-Modelle zu übersehen, wenn Datenbanken unterschiedliche Attributkonventionen verwenden. Die Suche nach FGFR2 basiert nicht nur auf einem exakten Gensymbol, sondern berücksichtigt auch Synonyme und datenbankspezifische Attributfelder.</w:t>
      </w:r>
    </w:p>
    <w:p>
      <w:pPr>
        <w:pStyle w:val="Heading2"/>
      </w:pPr>
      <w:r>
        <w:t>3.4 Normalisierung von Biotypen und Modellstatus</w:t>
      </w:r>
    </w:p>
    <w:p>
      <w:r>
        <w:t>Da Ensembl und NCBI unterschiedliche Begriffe und Attributfelder verwenden können, werden Biotypen vor dem Vergleich normalisiert. Beispielsweise können protein_coding, mRNA oder ein Genmodell mit CDS-Unterstützung als coding_gene zusammengeführt werden. Diese Normalisierung verhindert, dass reine Terminologieunterschiede fälschlich als biologische Konflikte interpretiert werden.</w:t>
      </w:r>
    </w:p>
    <w:p>
      <w:pPr>
        <w:pStyle w:val="Heading2"/>
      </w:pPr>
      <w:r>
        <w:t>3.5 Vergleich von Ensembl und NCBI</w:t>
      </w:r>
    </w:p>
    <w:p>
      <w:r>
        <w:t>Wenn beide Quellen verfügbar sind, werden die Modelle anhand struktureller und annotationeller Kriterien verglichen. Dazu gehören Gensymbol-Übereinstimmung, normalisierter Biotyp, Anzahl der Transkripte, Anzahl übersetzter Transkripte, maximale Protein- bzw. CDS-basierte Längenabschätzung, Exonverfügbarkeit und gegebenenfalls Koordinatenüberlappung. Für jede Quelle wird ein Score berechnet, und die Differenz dieser Scores wird dokumentiert. Die Entscheidung ist damit nachvollziehbar und nicht nur implizit im Code enthalten.</w:t>
      </w:r>
    </w:p>
    <w:p>
      <w:pPr>
        <w:pStyle w:val="Heading2"/>
      </w:pPr>
      <w:r>
        <w:t>3.6 Anwendung der Source-Präferenz</w:t>
      </w:r>
    </w:p>
    <w:p>
      <w:r>
        <w:t>Die in der Species Registry definierte bevorzugte Quelle wird in Version 3 explizit berücksichtigt. Dabei unterscheiden sich weiche Präferenzen wie ensembl_first oder ncbi_first von strikten Vorgaben wie strict_ensembl oder strict_ncbi. Weiche Präferenzen beeinflussen den Score, während strikte Vorgaben die Auswahl begrenzen, solange die bevorzugte Quelle ein verwendbares Modell liefert. Diese Trennung ist wichtig, weil sie kuratorische Entscheidungen transparent macht, ohne strukturelle Qualitätskriterien vollständig zu überschreiben.</w:t>
      </w:r>
    </w:p>
    <w:p>
      <w:pPr>
        <w:pStyle w:val="Heading1"/>
      </w:pPr>
      <w:r>
        <w:t>4. Qualitätssicherung und Tests</w:t>
      </w:r>
    </w:p>
    <w:p>
      <w:r>
        <w:t>Für den überarbeiteten Pipeline-Schritt wurden gezielte Tests implementiert. Die Tests prüfen nicht den vollständigen Live-Zugriff auf externe Datenbanken, sondern die kritischen internen Entscheidungen und Parserfunktionen. Dadurch können Fehler in der Pipeline-Logik unabhängig von temporären Netzwerk- oder API-Problemen erkannt werden.</w:t>
      </w:r>
    </w:p>
    <w:p>
      <w:pPr>
        <w:pStyle w:val="ListBullet"/>
      </w:pPr>
      <w:r>
        <w:t>korrektes Decoding von GFF3-Attributen</w:t>
      </w:r>
    </w:p>
    <w:p>
      <w:pPr>
        <w:pStyle w:val="ListBullet"/>
      </w:pPr>
      <w:r>
        <w:t>FGFR2-Erkennung über Synonyme wie BEK oder KGFR</w:t>
      </w:r>
    </w:p>
    <w:p>
      <w:pPr>
        <w:pStyle w:val="ListBullet"/>
      </w:pPr>
      <w:r>
        <w:t>Unterstützung von Multi-Parent-Beziehungen in GFF3-Dateien</w:t>
      </w:r>
    </w:p>
    <w:p>
      <w:pPr>
        <w:pStyle w:val="ListBullet"/>
      </w:pPr>
      <w:r>
        <w:t>Abwertung der Modell-Confidence bei Parser- oder Annotation-Warnungen</w:t>
      </w:r>
    </w:p>
    <w:p>
      <w:pPr>
        <w:pStyle w:val="ListBullet"/>
      </w:pPr>
      <w:r>
        <w:t>Auswahl geeigneter NCBI-Assemblies unter Berücksichtigung von RefSeq-Präferenz und Annotationstatus</w:t>
      </w:r>
    </w:p>
    <w:p>
      <w:pPr>
        <w:pStyle w:val="ListBullet"/>
      </w:pPr>
      <w:r>
        <w:t>deterministische Auswahl geeigneter GFF3-Dateien</w:t>
      </w:r>
    </w:p>
    <w:p>
      <w:pPr>
        <w:pStyle w:val="ListBullet"/>
      </w:pPr>
      <w:r>
        <w:t>korrekte Anwendung von ncbi_first, ensembl_first, strict_ncbi und strict_ensembl</w:t>
      </w:r>
    </w:p>
    <w:p>
      <w:r>
        <w:t>Diese Tests unterstützen den Grundsatz der Reproduzierbarkeit. Sie belegen nicht, dass jede externe Annotation biologisch korrekt ist, sondern dass die Pipeline ihre internen Regeln konsistent und überprüfbar anwendet.</w:t>
      </w:r>
    </w:p>
    <w:p>
      <w:pPr>
        <w:pStyle w:val="Heading1"/>
      </w:pPr>
      <w:r>
        <w:t>5. Wissenschaftliche Begründung</w:t>
      </w:r>
    </w:p>
    <w:p>
      <w:r>
        <w:t>Der duale Datenquellenansatz ist für diese Arbeit methodisch sinnvoll, da Ensembl und NCBI/RefSeq unterschiedliche Kurations- und Annotationstraditionen besitzen. Ensembl ist eine zentrale Ressource für vergleichende Genomik und bietet programmatische Zugänge für großskalige Analysen [1,4]. NCBI Datasets ermöglicht den reproduzierbaren Download von Sequenzen, Annotationen und Metadaten in strukturierten Datenpaketen [2]. RefSeq stellt kuratierte Referenzsequenzen bereit und reduziert Redundanz gegenüber unkuratierten Sequenzarchiven [3].</w:t>
      </w:r>
    </w:p>
    <w:p>
      <w:r>
        <w:t>Die explizite Dokumentation von Datenquellenkonflikten entspricht den FAIR-Prinzipien, insbesondere Interoperabilität und Wiederverwendbarkeit. Wilkinson et al. betonen, dass FAIR nicht nur für Daten, sondern auch für Algorithmen, Werkzeuge und Workflows relevant ist [5]. Für diese Bachelorarbeit bedeutet das: Die Pipeline soll nicht nur Ergebnisse erzeugen, sondern auch offenlegen, welche Eingaben, Regeln, Unsicherheiten und Entscheidungen zu diesen Ergebnissen geführt haben.</w:t>
      </w:r>
    </w:p>
    <w:p>
      <w:pPr>
        <w:pStyle w:val="Heading1"/>
      </w:pPr>
      <w:r>
        <w:t>6. Limitierungen</w:t>
      </w:r>
    </w:p>
    <w:p>
      <w:pPr>
        <w:pStyle w:val="ListBullet"/>
      </w:pPr>
      <w:r>
        <w:t>Die Pipeline kann die biologische Korrektheit externer Annotationen nicht garantieren; sie kann nur deren Struktur, Vollständigkeit und Konsistenz regelbasiert bewerten.</w:t>
      </w:r>
    </w:p>
    <w:p>
      <w:pPr>
        <w:pStyle w:val="ListBullet"/>
      </w:pPr>
      <w:r>
        <w:t>NCBI-GFF3-Dateien sind nur verfügbar, wenn eine annotierte Assembly vorliegt und die Annotation beim Download bereitgestellt wird.</w:t>
      </w:r>
    </w:p>
    <w:p>
      <w:pPr>
        <w:pStyle w:val="ListBullet"/>
      </w:pPr>
      <w:r>
        <w:t>CDS-basierte Proteinlängen aus NCBI-GFF3 werden als Schätzung behandelt, da Stopcodons, Phaseninformationen und partielle Modelle die exakte Länge beeinflussen können.</w:t>
      </w:r>
    </w:p>
    <w:p>
      <w:pPr>
        <w:pStyle w:val="ListBullet"/>
      </w:pPr>
      <w:r>
        <w:t>Ein Score-basiertes Auswahlverfahren ist eine Heuristik und ersetzt keine manuelle biologische Kuratierung in kritischen Grenzfällen.</w:t>
      </w:r>
    </w:p>
    <w:p>
      <w:pPr>
        <w:pStyle w:val="ListBullet"/>
      </w:pPr>
      <w:r>
        <w:t>Externe Datenbanken können sich über die Zeit ändern; daher sollten Datenbankversionen, Downloadzeitpunkte und verwendete Assembly-Zugänge dokumentiert werden.</w:t>
      </w:r>
    </w:p>
    <w:p>
      <w:r>
        <w:t>Eine geeignete Formulierung für die Arbeit lautet daher: Die Pipeline liefert keine absolute biologische Wahrheit, sondern eine reproduzierbare, regelbasierte und annotation-aware Interpretation öffentlich verfügbarer Genom- und Transkriptannotationen.</w:t>
      </w:r>
    </w:p>
    <w:p>
      <w:pPr>
        <w:pStyle w:val="Heading1"/>
      </w:pPr>
      <w:r>
        <w:t>7. Direkt verwendbarer Methodentext</w:t>
      </w:r>
    </w:p>
    <w:p>
      <w:r>
        <w:rPr>
          <w:b/>
        </w:rPr>
        <w:t>Vorschlag für den Methodenteil:</w:t>
      </w:r>
    </w:p>
    <w:p>
      <w:r>
        <w:t>Für jede in der Species Registry enthaltene Vertebratenart wurden FGFR2-Genmodelle aus Ensembl und, sofern verfügbar, aus NCBI-basierten Annotationen gesammelt. Ensembl wurde über die REST API abgefragt, während NCBI-Modelle über Gene-/Protein-Evidence, Assembly-Metadaten und GFF3-Annotationen aus NCBI Datasets berücksichtigt wurden. Die extrahierten Informationen wurden in normalisierte Tabellen für Gene, Transkripte und Exon-/CDS-Features überführt. Für jedes Modell wurden Vollständigkeitsindikatoren wie Transkriptanzahl, Translation- bzw. CDS-Unterstützung, Exonverfügbarkeit und Modellstatus dokumentiert.</w:t>
      </w:r>
    </w:p>
    <w:p>
      <w:r>
        <w:t>Wenn beide Datenquellen verfügbar waren, wurden die Modelle anhand struktureller und annotationeller Kriterien verglichen. Dazu gehörten Gensymbol, normalisierter Biotyp, Anzahl übersetzter Transkripte, Exoninformationen und gegebenenfalls Koordinatenüberlappung. Die Quellenauswahl erfolgte regelbasiert unter Berücksichtigung der in der Species Registry definierten Source-Präferenz. Abweichungen, fehlende Annotationen oder potenziell unsichere Modelle wurden nicht verworfen, sondern in Warn- und Entscheidungstabellen dokumentiert. Dadurch blieb nachvollziehbar, welche Quelle pro Species in die nachfolgenden Analysen übernommen wurde und welche Fälle als annotationell unsicher zu behandeln sind.</w:t>
      </w:r>
    </w:p>
    <w:p>
      <w:pPr>
        <w:pStyle w:val="Heading1"/>
      </w:pPr>
      <w:r>
        <w:t>8. Empfohlene Ergebnisinterpretation</w:t>
      </w:r>
    </w:p>
    <w:p>
      <w:r>
        <w:t>Für die spätere Diskussion sollte zwischen technischen, annotationellen und biologischen Unsicherheiten unterschieden werden. Ein Unterschied zwischen Ensembl und NCBI bedeutet nicht automatisch einen biologischen Widerspruch. Er kann auch aus verschiedenen Assembly-Versionen, Datenbankkonventionen, Transkriptdefinitionen oder Kurationsständen entstehen. Deshalb werden Konflikte im Framework als Hinweise auf Annotation- und Robustheitsprobleme behandelt, nicht automatisch als biologische Varianten.</w:t>
      </w:r>
    </w:p>
    <w:p>
      <w:pPr>
        <w:pStyle w:val="Heading1"/>
      </w:pPr>
      <w:r>
        <w:t>9. Literatur</w:t>
      </w:r>
    </w:p>
    <w:p>
      <w:pPr>
        <w:ind w:hanging="397" w:left="397"/>
      </w:pPr>
      <w:r>
        <w:rPr>
          <w:b/>
        </w:rPr>
        <w:t xml:space="preserve">[1] </w:t>
      </w:r>
      <w:r>
        <w:t>Yates, A. et al. (2015). The Ensembl REST API: Ensembl Data for Any Language. Bioinformatics / Nucleic Acids Research resource documentation. Verwendet als Begründung für den programmgesteuerten Zugriff auf Ensembl-Daten über eine sprachunabhängige REST-Schnittstelle.</w:t>
      </w:r>
    </w:p>
    <w:p>
      <w:pPr>
        <w:ind w:hanging="397" w:left="397"/>
      </w:pPr>
      <w:r>
        <w:rPr>
          <w:b/>
        </w:rPr>
        <w:t xml:space="preserve">[2] </w:t>
      </w:r>
      <w:r>
        <w:t>O’Leary, N. A. et al. (2024). Exploring and retrieving sequence and metadata for species across the tree of life with NCBI Datasets. Scientific Data. Verwendet als Begründung für den strukturierten Download von Genom-, Gen- und Annotationdaten einschließlich GFF3-Dateien.</w:t>
      </w:r>
    </w:p>
    <w:p>
      <w:pPr>
        <w:ind w:hanging="397" w:left="397"/>
      </w:pPr>
      <w:r>
        <w:rPr>
          <w:b/>
        </w:rPr>
        <w:t xml:space="preserve">[3] </w:t>
      </w:r>
      <w:r>
        <w:t>Goldfarb, T. et al. (2025). NCBI RefSeq: reference sequence standards through 25 years. Nucleic Acids Research, 53(D1), D243-D257. Verwendet als Begründung für RefSeq als kuratierte Referenzsequenzressource.</w:t>
      </w:r>
    </w:p>
    <w:p>
      <w:pPr>
        <w:ind w:hanging="397" w:left="397"/>
      </w:pPr>
      <w:r>
        <w:rPr>
          <w:b/>
        </w:rPr>
        <w:t xml:space="preserve">[4] </w:t>
      </w:r>
      <w:r>
        <w:t>Cunningham, F. et al. (2015). Ensembl 2015. Nucleic Acids Research, 43(D1), D662-D669. Verwendet als allgemeine Referenz für Ensembl als Ressource für Genomannotation und vergleichende Genomik.</w:t>
      </w:r>
    </w:p>
    <w:p>
      <w:pPr>
        <w:ind w:hanging="397" w:left="397"/>
      </w:pPr>
      <w:r>
        <w:rPr>
          <w:b/>
        </w:rPr>
        <w:t xml:space="preserve">[5] </w:t>
      </w:r>
      <w:r>
        <w:t>Wilkinson, M. D. et al. (2016). The FAIR Guiding Principles for scientific data management and stewardship. Scientific Data, 3, 160018. Verwendet als Begründung für strukturierte Metadaten, reproduzierbare Workflows und maschinenlesbare Zwischenergebnisse.</w:t>
      </w:r>
    </w:p>
    <w:p>
      <w:pPr>
        <w:ind w:hanging="397" w:left="397"/>
      </w:pPr>
      <w:r>
        <w:rPr>
          <w:b/>
        </w:rPr>
        <w:t xml:space="preserve">[6] </w:t>
      </w:r>
      <w:r>
        <w:t>pytest documentation. tmp_path fixture and test isolation. Verwendet als technische Begründung für isolierte Tests mit temporären Eingabe- und Ausgabedateien.</w:t>
      </w:r>
    </w:p>
    <w:sectPr w:rsidR="00FC693F" w:rsidRPr="0006063C" w:rsidSect="00034616">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