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Methodenbeschreibung: export_selected_fgfr2_proteins_complete_v2.py</w:t>
      </w:r>
    </w:p>
    <w:p>
      <w:pPr>
        <w:jc w:val="center"/>
      </w:pPr>
      <w:r>
        <w:rPr>
          <w:i/>
          <w:sz w:val="22"/>
        </w:rPr>
        <w:t>Rollenbasierter Export ausgewählter FGFR2-Proteinsequenzen für InterProScan</w:t>
      </w:r>
    </w:p>
    <w:p>
      <w:r>
        <w:t>Bachelorarbeit: An Annotation-Aware Framework for Assessing the Consistency and Robustness of Exon-Domain Boundary Identification Across Vertebrate Orthologs: FGFR2 IIIb/IIIc as a Case Study</w:t>
      </w:r>
    </w:p>
    <w:p>
      <w:pPr>
        <w:pStyle w:val="Heading1"/>
      </w:pPr>
      <w:r>
        <w:t>1. Ziel des Pipeline-Schritts</w:t>
      </w:r>
    </w:p>
    <w:p>
      <w:r>
        <w:t>Dieses Script bildet den methodischen Übergang von der transcript- und exonstrukturbasierten Analyse zur proteinbasierten Domänenannotation. Nach der annotation-aware Transkriptauswahl und der exon-structure-basierten IIIb/IIIc-Klassifikation exportiert das Script die Proteinsequenzen der ausgewählten FGFR2-Transkripte in eine standardisierte FASTA-Datei. Die FASTA-Datei dient anschließend als Eingabe für InterProScan, sodass Protein-Domänen auf die zuvor definierten Rollen reference, FGFR2_IIIb_candidate und FGFR2_IIIc_candidate zurückgeführt werden können.</w:t>
      </w:r>
    </w:p>
    <w:p>
      <w:r>
        <w:t>Der Schritt ist wissenschaftlich kritisch, weil Fehler beim Proteinexport direkt zu falscher oder fehlender Domänenannotation führen können. Daher wurde Version 2 so gestaltet, dass jede exportierte Sequenz über eindeutige FASTA-IDs, eine Mapping-Tabelle, Match-Confidence, Längenprüfung, Sequenzvalidierung, Warnings und Run-Metadaten nachvollziehbar dokumentiert wird.</w:t>
      </w:r>
    </w:p>
    <w:p>
      <w:pPr>
        <w:pStyle w:val="Heading1"/>
      </w:pPr>
      <w:r>
        <w:t>2. Position im Gesamtworkflow</w:t>
      </w:r>
    </w:p>
    <w:p>
      <w:pPr>
        <w:pStyle w:val="IntenseQuote"/>
      </w:pPr>
      <w:r>
        <w:rPr>
          <w:rFonts w:ascii="Courier New" w:hAnsi="Courier New" w:eastAsia="Courier New"/>
          <w:sz w:val="18"/>
        </w:rPr>
        <w:t>select_fgfr2_transcripts_annotation_aware_v2.py</w:t>
        <w:br/>
        <w:t xml:space="preserve">  + fgfr2_isoform_evidence.tsv</w:t>
        <w:br/>
        <w:t xml:space="preserve">        ↓</w:t>
        <w:br/>
        <w:t>export_selected_fgfr2_proteins_complete_v2.py</w:t>
        <w:br/>
        <w:t xml:space="preserve">        ↓</w:t>
        <w:br/>
        <w:t>selected_fgfr2_proteins.faa</w:t>
        <w:br/>
        <w:t xml:space="preserve">        ↓</w:t>
        <w:br/>
        <w:t>InterProScan</w:t>
        <w:br/>
        <w:t xml:space="preserve">        ↓</w:t>
        <w:br/>
        <w:t>exon-domain boundary mapping</w:t>
      </w:r>
    </w:p>
    <w:p>
      <w:pPr>
        <w:pStyle w:val="Heading1"/>
      </w:pPr>
      <w:r>
        <w:t>3. Input- und Output-Dateien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AF7"/>
            <w:vAlign w:val="top"/>
          </w:tcPr>
          <w:p>
            <w:r/>
            <w:r>
              <w:rPr>
                <w:b/>
                <w:sz w:val="18"/>
              </w:rPr>
              <w:t>Datei/Parameter</w:t>
            </w:r>
          </w:p>
        </w:tc>
        <w:tc>
          <w:tcPr>
            <w:tcW w:type="dxa" w:w="3249"/>
            <w:shd w:fill="D9EAF7"/>
            <w:vAlign w:val="top"/>
          </w:tcPr>
          <w:p>
            <w:r/>
            <w:r>
              <w:rPr>
                <w:b/>
                <w:sz w:val="18"/>
              </w:rPr>
              <w:t>Typ</w:t>
            </w:r>
          </w:p>
        </w:tc>
        <w:tc>
          <w:tcPr>
            <w:tcW w:type="dxa" w:w="3249"/>
            <w:shd w:fill="D9EAF7"/>
            <w:vAlign w:val="top"/>
          </w:tcPr>
          <w:p>
            <w:r/>
            <w:r>
              <w:rPr>
                <w:b/>
                <w:sz w:val="18"/>
              </w:rPr>
              <w:t>Bedeutung</w:t>
            </w:r>
          </w:p>
        </w:tc>
      </w:tr>
      <w:tr>
        <w:tc>
          <w:tcPr>
            <w:tcW w:type="dxa" w:w="3249"/>
            <w:vAlign w:val="top"/>
          </w:tcPr>
          <w:p>
            <w:r/>
            <w:r>
              <w:rPr>
                <w:b w:val="0"/>
                <w:sz w:val="18"/>
              </w:rPr>
              <w:t>selected_transcripts.tsv</w:t>
            </w:r>
          </w:p>
        </w:tc>
        <w:tc>
          <w:tcPr>
            <w:tcW w:type="dxa" w:w="3249"/>
            <w:vAlign w:val="top"/>
          </w:tcPr>
          <w:p>
            <w:r/>
            <w:r>
              <w:rPr>
                <w:b w:val="0"/>
                <w:sz w:val="18"/>
              </w:rPr>
              <w:t>Input</w:t>
            </w:r>
          </w:p>
        </w:tc>
        <w:tc>
          <w:tcPr>
            <w:tcW w:type="dxa" w:w="3249"/>
            <w:vAlign w:val="top"/>
          </w:tcPr>
          <w:p>
            <w:r/>
            <w:r>
              <w:rPr>
                <w:b w:val="0"/>
                <w:sz w:val="18"/>
              </w:rPr>
              <w:t>Rollenbasierte Auswahl der FGFR2-Transkripte aus Script 3, inklusive Species, Source, Transcript-ID, Protein-ID, Isoformzuordnung und Rolle.</w:t>
            </w:r>
          </w:p>
        </w:tc>
      </w:tr>
      <w:tr>
        <w:tc>
          <w:tcPr>
            <w:tcW w:type="dxa" w:w="3249"/>
            <w:vAlign w:val="top"/>
          </w:tcPr>
          <w:p>
            <w:r/>
            <w:r>
              <w:rPr>
                <w:b w:val="0"/>
                <w:sz w:val="18"/>
              </w:rPr>
              <w:t>_ncbi_datasets_cache/</w:t>
            </w:r>
          </w:p>
        </w:tc>
        <w:tc>
          <w:tcPr>
            <w:tcW w:type="dxa" w:w="3249"/>
            <w:vAlign w:val="top"/>
          </w:tcPr>
          <w:p>
            <w:r/>
            <w:r>
              <w:rPr>
                <w:b w:val="0"/>
                <w:sz w:val="18"/>
              </w:rPr>
              <w:t>Input</w:t>
            </w:r>
          </w:p>
        </w:tc>
        <w:tc>
          <w:tcPr>
            <w:tcW w:type="dxa" w:w="3249"/>
            <w:vAlign w:val="top"/>
          </w:tcPr>
          <w:p>
            <w:r/>
            <w:r>
              <w:rPr>
                <w:b w:val="0"/>
                <w:sz w:val="18"/>
              </w:rPr>
              <w:t>Lokaler NCBI-Datasets-Cache mit GFF3-Annotationen und protein.faa-Dateien aus dem Modell-Collector.</w:t>
            </w:r>
          </w:p>
        </w:tc>
      </w:tr>
      <w:tr>
        <w:tc>
          <w:tcPr>
            <w:tcW w:type="dxa" w:w="3249"/>
            <w:vAlign w:val="top"/>
          </w:tcPr>
          <w:p>
            <w:r/>
            <w:r>
              <w:rPr>
                <w:b w:val="0"/>
                <w:sz w:val="18"/>
              </w:rPr>
              <w:t>selected_fgfr2_proteins.faa</w:t>
            </w:r>
          </w:p>
        </w:tc>
        <w:tc>
          <w:tcPr>
            <w:tcW w:type="dxa" w:w="3249"/>
            <w:vAlign w:val="top"/>
          </w:tcPr>
          <w:p>
            <w:r/>
            <w:r>
              <w:rPr>
                <w:b w:val="0"/>
                <w:sz w:val="18"/>
              </w:rPr>
              <w:t>Output</w:t>
            </w:r>
          </w:p>
        </w:tc>
        <w:tc>
          <w:tcPr>
            <w:tcW w:type="dxa" w:w="3249"/>
            <w:vAlign w:val="top"/>
          </w:tcPr>
          <w:p>
            <w:r/>
            <w:r>
              <w:rPr>
                <w:b w:val="0"/>
                <w:sz w:val="18"/>
              </w:rPr>
              <w:t>InterProScan-kompatible FASTA-Datei mit eindeutigen IDs fgfr2prot_000001 usw.</w:t>
            </w:r>
          </w:p>
        </w:tc>
      </w:tr>
      <w:tr>
        <w:tc>
          <w:tcPr>
            <w:tcW w:type="dxa" w:w="3249"/>
            <w:vAlign w:val="top"/>
          </w:tcPr>
          <w:p>
            <w:r/>
            <w:r>
              <w:rPr>
                <w:b w:val="0"/>
                <w:sz w:val="18"/>
              </w:rPr>
              <w:t>protein_export_report.tsv</w:t>
            </w:r>
          </w:p>
        </w:tc>
        <w:tc>
          <w:tcPr>
            <w:tcW w:type="dxa" w:w="3249"/>
            <w:vAlign w:val="top"/>
          </w:tcPr>
          <w:p>
            <w:r/>
            <w:r>
              <w:rPr>
                <w:b w:val="0"/>
                <w:sz w:val="18"/>
              </w:rPr>
              <w:t>Output</w:t>
            </w:r>
          </w:p>
        </w:tc>
        <w:tc>
          <w:tcPr>
            <w:tcW w:type="dxa" w:w="3249"/>
            <w:vAlign w:val="top"/>
          </w:tcPr>
          <w:p>
            <w:r/>
            <w:r>
              <w:rPr>
                <w:b w:val="0"/>
                <w:sz w:val="18"/>
              </w:rPr>
              <w:t>Zentrale Mapping- und Provenance-Tabelle: FASTA-ID, Species, Rolle, Transcript, Protein-ID, Match-Methode, Confidence, Länge und Validierung.</w:t>
            </w:r>
          </w:p>
        </w:tc>
      </w:tr>
      <w:tr>
        <w:tc>
          <w:tcPr>
            <w:tcW w:type="dxa" w:w="3249"/>
            <w:vAlign w:val="top"/>
          </w:tcPr>
          <w:p>
            <w:r/>
            <w:r>
              <w:rPr>
                <w:b w:val="0"/>
                <w:sz w:val="18"/>
              </w:rPr>
              <w:t>protein_export_warnings.tsv</w:t>
            </w:r>
          </w:p>
        </w:tc>
        <w:tc>
          <w:tcPr>
            <w:tcW w:type="dxa" w:w="3249"/>
            <w:vAlign w:val="top"/>
          </w:tcPr>
          <w:p>
            <w:r/>
            <w:r>
              <w:rPr>
                <w:b w:val="0"/>
                <w:sz w:val="18"/>
              </w:rPr>
              <w:t>Output</w:t>
            </w:r>
          </w:p>
        </w:tc>
        <w:tc>
          <w:tcPr>
            <w:tcW w:type="dxa" w:w="3249"/>
            <w:vAlign w:val="top"/>
          </w:tcPr>
          <w:p>
            <w:r/>
            <w:r>
              <w:rPr>
                <w:b w:val="0"/>
                <w:sz w:val="18"/>
              </w:rPr>
              <w:t>Warnungen zu fehlenden IDs, Rescue-Matches, Längenabweichungen, Sequenzproblemen oder fehlgeschlagenen Exporten.</w:t>
            </w:r>
          </w:p>
        </w:tc>
      </w:tr>
      <w:tr>
        <w:tc>
          <w:tcPr>
            <w:tcW w:type="dxa" w:w="3249"/>
            <w:vAlign w:val="top"/>
          </w:tcPr>
          <w:p>
            <w:r/>
            <w:r>
              <w:rPr>
                <w:b w:val="0"/>
                <w:sz w:val="18"/>
              </w:rPr>
              <w:t>run_metadata.json</w:t>
            </w:r>
          </w:p>
        </w:tc>
        <w:tc>
          <w:tcPr>
            <w:tcW w:type="dxa" w:w="3249"/>
            <w:vAlign w:val="top"/>
          </w:tcPr>
          <w:p>
            <w:r/>
            <w:r>
              <w:rPr>
                <w:b w:val="0"/>
                <w:sz w:val="18"/>
              </w:rPr>
              <w:t>Output</w:t>
            </w:r>
          </w:p>
        </w:tc>
        <w:tc>
          <w:tcPr>
            <w:tcW w:type="dxa" w:w="3249"/>
            <w:vAlign w:val="top"/>
          </w:tcPr>
          <w:p>
            <w:r/>
            <w:r>
              <w:rPr>
                <w:b w:val="0"/>
                <w:sz w:val="18"/>
              </w:rPr>
              <w:t>Reproduzierbarkeitsinformationen: Script-Version, Parameter, Input-Spalten, Anzahl exportierter Sequenzen, REST-/NCBI-Einstellungen.</w:t>
            </w:r>
          </w:p>
        </w:tc>
      </w:tr>
      <w:tr>
        <w:tc>
          <w:tcPr>
            <w:tcW w:type="dxa" w:w="3249"/>
            <w:vAlign w:val="top"/>
          </w:tcPr>
          <w:p>
            <w:r/>
            <w:r>
              <w:rPr>
                <w:b w:val="0"/>
                <w:sz w:val="18"/>
              </w:rPr>
              <w:t>protein_export_report.md/html</w:t>
            </w:r>
          </w:p>
        </w:tc>
        <w:tc>
          <w:tcPr>
            <w:tcW w:type="dxa" w:w="3249"/>
            <w:vAlign w:val="top"/>
          </w:tcPr>
          <w:p>
            <w:r/>
            <w:r>
              <w:rPr>
                <w:b w:val="0"/>
                <w:sz w:val="18"/>
              </w:rPr>
              <w:t>Output</w:t>
            </w:r>
          </w:p>
        </w:tc>
        <w:tc>
          <w:tcPr>
            <w:tcW w:type="dxa" w:w="3249"/>
            <w:vAlign w:val="top"/>
          </w:tcPr>
          <w:p>
            <w:r/>
            <w:r>
              <w:rPr>
                <w:b w:val="0"/>
                <w:sz w:val="18"/>
              </w:rPr>
              <w:t>Lesbarer Kurzreport für manuelle Kontrolle und Dokumentation.</w:t>
            </w:r>
          </w:p>
        </w:tc>
      </w:tr>
    </w:tbl>
    <w:p>
      <w:pPr>
        <w:pStyle w:val="Heading1"/>
      </w:pPr>
      <w:r>
        <w:t>4. Algorithmische Vorgehensweise</w:t>
      </w:r>
    </w:p>
    <w:p>
      <w:pPr>
        <w:pStyle w:val="Heading2"/>
      </w:pPr>
      <w:r>
        <w:t>4.1 Schema-Validierung</w:t>
      </w:r>
    </w:p>
    <w:p>
      <w:r>
        <w:t>Zu Beginn wird geprüft, ob selected_transcripts.tsv die notwendigen Spalten enthält. Dazu gehören unter anderem species_canonical, source_db, selection_role, transcript_id_source, translation_id_source und protein_length_aa. Im --strict-Modus führt ein fehlendes Pflichtfeld zum Abbruch; ohne strict wird eine Warnung dokumentiert.</w:t>
      </w:r>
    </w:p>
    <w:p>
      <w:pPr>
        <w:pStyle w:val="Heading2"/>
      </w:pPr>
      <w:r>
        <w:t>4.2 Rollenfilterung</w:t>
      </w:r>
    </w:p>
    <w:p>
      <w:r>
        <w:t>Standardmäßig werden nur die Rollen reference, FGFR2_IIIb_candidate und FGFR2_IIIc_candidate exportiert. Dadurch wird die FASTA-Datei klein, interpretierbar und direkt auf die biologische Fragestellung bezogen.</w:t>
      </w:r>
    </w:p>
    <w:p>
      <w:pPr>
        <w:pStyle w:val="Heading2"/>
      </w:pPr>
      <w:r>
        <w:t>4.3 Eindeutige FASTA-IDs</w:t>
      </w:r>
    </w:p>
    <w:p>
      <w:r>
        <w:t>Jeder exportierte Datensatz erhält eine kurze, stabile ID der Form fgfr2prot_000001. Die biologischen Metadaten werden zusätzlich im FASTA-Header und vollständig in protein_export_report.tsv gespeichert. Diese Trennung reduziert Probleme durch lange oder doppelte FASTA-Identifier in InterProScan.</w:t>
      </w:r>
    </w:p>
    <w:p>
      <w:pPr>
        <w:pStyle w:val="Heading2"/>
      </w:pPr>
      <w:r>
        <w:t>4.4 Ensembl-Sequenzexport</w:t>
      </w:r>
    </w:p>
    <w:p>
      <w:r>
        <w:t>Für Ensembl-basierte Transkripte wird die Proteinsequenz über die Ensembl-Translation-ID über die Ensembl REST API abgefragt. Die Nutzung stabiler Translation-IDs ist sinnvoll, da die Ensembl REST API Sequenzen über stabile Identifier in Formaten wie FASTA bereitstellen kann (Yates et al., 2014; Ensembl REST documentation).</w:t>
      </w:r>
    </w:p>
    <w:p>
      <w:pPr>
        <w:pStyle w:val="Heading2"/>
      </w:pPr>
      <w:r>
        <w:t>4.5 NCBI-Sequenzexport</w:t>
      </w:r>
    </w:p>
    <w:p>
      <w:r>
        <w:t>Für NCBI-basierte Transkripte werden Transkript-Protein-Zuordnungen aus GFF3-CDS-Features und Proteinsequenzen aus NCBI-Datasets-FASTA-Dateien verwendet. NCBI Datasets stellt Genome, Annotationen und Protein-FASTA-Dateien in strukturierten Datenpaketen bereit; RefSeq wird als kuratierte Referenzressource für Genome, Transkripte und Proteine verwendet (NCBI Datasets documentation; RefSeq documentation; Goldfarb et al., 2025).</w:t>
      </w:r>
    </w:p>
    <w:p>
      <w:pPr>
        <w:pStyle w:val="Heading2"/>
      </w:pPr>
      <w:r>
        <w:t>4.6 Match-Confidence</w:t>
      </w:r>
    </w:p>
    <w:p>
      <w:r>
        <w:t>Exakte NCBI-Protein-Accession-Matches und Ensembl-Translation-ID-Matches werden als high confidence behandelt. Produkt-, Species- und längenbasierte Rescue-Matches werden als medium confidence dokumentiert, da sie biologisch plausibel, aber weniger eindeutig sind als exakte Identifier-Matches.</w:t>
      </w:r>
    </w:p>
    <w:p>
      <w:pPr>
        <w:pStyle w:val="Heading2"/>
      </w:pPr>
      <w:r>
        <w:t>4.7 Längen- und Sequenzvalidierung</w:t>
      </w:r>
    </w:p>
    <w:p>
      <w:r>
        <w:t>Für jede exportierte Sequenz werden erwartete und beobachtete Proteinlänge verglichen. Kleine Abweichungen werden als minor difference dokumentiert, größere Abweichungen erzeugen stärkere Warnungen. Zusätzlich wird geprüft, ob die Sequenz plausible Aminosäurezeichen enthält und im erwarteten FGFR2-Längenbereich liegt.</w:t>
      </w:r>
    </w:p>
    <w:p>
      <w:pPr>
        <w:pStyle w:val="Heading2"/>
      </w:pPr>
      <w:r>
        <w:t>4.8 Warnings und Metadaten</w:t>
      </w:r>
    </w:p>
    <w:p>
      <w:r>
        <w:t>Alle potenziell relevanten Unsicherheiten werden in protein_export_warnings.tsv dokumentiert. run_metadata.json speichert Parameter und Zählwerte des Laufs. Dies unterstützt Reproduzierbarkeit und entspricht dem FAIR-Gedanken, nach dem nicht nur Daten, sondern auch Workflows und Metadaten maschinenlesbar und wiederverwendbar sein sollen (Wilkinson et al., 2016).</w:t>
      </w:r>
    </w:p>
    <w:p>
      <w:pPr>
        <w:pStyle w:val="Heading1"/>
      </w:pPr>
      <w:r>
        <w:t>5. Begründung zentraler Designentscheidungen</w:t>
      </w:r>
    </w:p>
    <w:tbl>
      <w:tblPr>
        <w:tblStyle w:val="TableGrid"/>
        <w:tblW w:type="auto" w:w="0"/>
        <w:tblLook w:firstColumn="1" w:firstRow="1" w:lastColumn="0" w:lastRow="0" w:noHBand="0" w:noVBand="1" w:val="04A0"/>
      </w:tblPr>
      <w:tblGrid>
        <w:gridCol w:w="3249"/>
        <w:gridCol w:w="3249"/>
        <w:gridCol w:w="3249"/>
      </w:tblGrid>
      <w:tr>
        <w:tc>
          <w:tcPr>
            <w:tcW w:type="dxa" w:w="3249"/>
            <w:shd w:fill="E2F0D9"/>
            <w:vAlign w:val="top"/>
          </w:tcPr>
          <w:p>
            <w:r/>
            <w:r>
              <w:rPr>
                <w:b/>
                <w:sz w:val="18"/>
              </w:rPr>
              <w:t>Entscheidung</w:t>
            </w:r>
          </w:p>
        </w:tc>
        <w:tc>
          <w:tcPr>
            <w:tcW w:type="dxa" w:w="3249"/>
            <w:shd w:fill="E2F0D9"/>
            <w:vAlign w:val="top"/>
          </w:tcPr>
          <w:p>
            <w:r/>
            <w:r>
              <w:rPr>
                <w:b/>
                <w:sz w:val="18"/>
              </w:rPr>
              <w:t>Begründung</w:t>
            </w:r>
          </w:p>
        </w:tc>
        <w:tc>
          <w:tcPr>
            <w:tcW w:type="dxa" w:w="3249"/>
            <w:shd w:fill="E2F0D9"/>
            <w:vAlign w:val="top"/>
          </w:tcPr>
          <w:p>
            <w:r/>
            <w:r>
              <w:rPr>
                <w:b/>
                <w:sz w:val="18"/>
              </w:rPr>
              <w:t>Literatur-/Methodenbezug</w:t>
            </w:r>
          </w:p>
        </w:tc>
      </w:tr>
      <w:tr>
        <w:tc>
          <w:tcPr>
            <w:tcW w:type="dxa" w:w="3249"/>
            <w:vAlign w:val="top"/>
          </w:tcPr>
          <w:p>
            <w:r/>
            <w:r>
              <w:rPr>
                <w:b w:val="0"/>
                <w:sz w:val="18"/>
              </w:rPr>
              <w:t>Rollenbasierter Export statt Export aller Transkripte</w:t>
            </w:r>
          </w:p>
        </w:tc>
        <w:tc>
          <w:tcPr>
            <w:tcW w:type="dxa" w:w="3249"/>
            <w:vAlign w:val="top"/>
          </w:tcPr>
          <w:p>
            <w:r/>
            <w:r>
              <w:rPr>
                <w:b w:val="0"/>
                <w:sz w:val="18"/>
              </w:rPr>
              <w:t>Die Fragestellung fokussiert reference, IIIb und IIIc. Ein rollenbasierter Export reduziert Rauschen und erleichtert die spätere Interpretation der InterProScan-Ergebnisse.</w:t>
            </w:r>
          </w:p>
        </w:tc>
        <w:tc>
          <w:tcPr>
            <w:tcW w:type="dxa" w:w="3249"/>
            <w:vAlign w:val="top"/>
          </w:tcPr>
          <w:p>
            <w:r/>
            <w:r>
              <w:rPr>
                <w:b w:val="0"/>
                <w:sz w:val="18"/>
              </w:rPr>
              <w:t>Use-case-driven, annotation-aware Workflow; FAIR-Reproduzierbarkeit.</w:t>
            </w:r>
          </w:p>
        </w:tc>
      </w:tr>
      <w:tr>
        <w:tc>
          <w:tcPr>
            <w:tcW w:type="dxa" w:w="3249"/>
            <w:vAlign w:val="top"/>
          </w:tcPr>
          <w:p>
            <w:r/>
            <w:r>
              <w:rPr>
                <w:b w:val="0"/>
                <w:sz w:val="18"/>
              </w:rPr>
              <w:t>Separate FASTA-ID und Mapping-Tabelle</w:t>
            </w:r>
          </w:p>
        </w:tc>
        <w:tc>
          <w:tcPr>
            <w:tcW w:type="dxa" w:w="3249"/>
            <w:vAlign w:val="top"/>
          </w:tcPr>
          <w:p>
            <w:r/>
            <w:r>
              <w:rPr>
                <w:b w:val="0"/>
                <w:sz w:val="18"/>
              </w:rPr>
              <w:t>Kurze IDs sind robuster für externe Tools; die vollständige biologische Bedeutung bleibt über die Mapping-Tabelle erhalten.</w:t>
            </w:r>
          </w:p>
        </w:tc>
        <w:tc>
          <w:tcPr>
            <w:tcW w:type="dxa" w:w="3249"/>
            <w:vAlign w:val="top"/>
          </w:tcPr>
          <w:p>
            <w:r/>
            <w:r>
              <w:rPr>
                <w:b w:val="0"/>
                <w:sz w:val="18"/>
              </w:rPr>
              <w:t>FAIR-Prinzipien: maschinenlesbare Metadaten und Wiederverwendbarkeit.</w:t>
            </w:r>
          </w:p>
        </w:tc>
      </w:tr>
      <w:tr>
        <w:tc>
          <w:tcPr>
            <w:tcW w:type="dxa" w:w="3249"/>
            <w:vAlign w:val="top"/>
          </w:tcPr>
          <w:p>
            <w:r/>
            <w:r>
              <w:rPr>
                <w:b w:val="0"/>
                <w:sz w:val="18"/>
              </w:rPr>
              <w:t>Ensembl über Translation-ID</w:t>
            </w:r>
          </w:p>
        </w:tc>
        <w:tc>
          <w:tcPr>
            <w:tcW w:type="dxa" w:w="3249"/>
            <w:vAlign w:val="top"/>
          </w:tcPr>
          <w:p>
            <w:r/>
            <w:r>
              <w:rPr>
                <w:b w:val="0"/>
                <w:sz w:val="18"/>
              </w:rPr>
              <w:t>Translation-IDs sind direkte Proteinsequenz-Identifier innerhalb der Ensembl-Annotation und können über die REST API abgefragt werden.</w:t>
            </w:r>
          </w:p>
        </w:tc>
        <w:tc>
          <w:tcPr>
            <w:tcW w:type="dxa" w:w="3249"/>
            <w:vAlign w:val="top"/>
          </w:tcPr>
          <w:p>
            <w:r/>
            <w:r>
              <w:rPr>
                <w:b w:val="0"/>
                <w:sz w:val="18"/>
              </w:rPr>
              <w:t>Yates et al. 2014; Ensembl REST endpoint sequence/id.</w:t>
            </w:r>
          </w:p>
        </w:tc>
      </w:tr>
      <w:tr>
        <w:tc>
          <w:tcPr>
            <w:tcW w:type="dxa" w:w="3249"/>
            <w:vAlign w:val="top"/>
          </w:tcPr>
          <w:p>
            <w:r/>
            <w:r>
              <w:rPr>
                <w:b w:val="0"/>
                <w:sz w:val="18"/>
              </w:rPr>
              <w:t>NCBI über GFF3 + protein.faa</w:t>
            </w:r>
          </w:p>
        </w:tc>
        <w:tc>
          <w:tcPr>
            <w:tcW w:type="dxa" w:w="3249"/>
            <w:vAlign w:val="top"/>
          </w:tcPr>
          <w:p>
            <w:r/>
            <w:r>
              <w:rPr>
                <w:b w:val="0"/>
                <w:sz w:val="18"/>
              </w:rPr>
              <w:t>NCBI-Datasets-Genomepakete enthalten Annotationen und Protein-FASTA-Dateien aus derselben Assembly; dadurch bleiben Annotation und Sequenzquelle gekoppelt.</w:t>
            </w:r>
          </w:p>
        </w:tc>
        <w:tc>
          <w:tcPr>
            <w:tcW w:type="dxa" w:w="3249"/>
            <w:vAlign w:val="top"/>
          </w:tcPr>
          <w:p>
            <w:r/>
            <w:r>
              <w:rPr>
                <w:b w:val="0"/>
                <w:sz w:val="18"/>
              </w:rPr>
              <w:t>NCBI Datasets Genome Package; RefSeq-Dokumentation.</w:t>
            </w:r>
          </w:p>
        </w:tc>
      </w:tr>
      <w:tr>
        <w:tc>
          <w:tcPr>
            <w:tcW w:type="dxa" w:w="3249"/>
            <w:vAlign w:val="top"/>
          </w:tcPr>
          <w:p>
            <w:r/>
            <w:r>
              <w:rPr>
                <w:b w:val="0"/>
                <w:sz w:val="18"/>
              </w:rPr>
              <w:t>Exact match vor Rescue-Match</w:t>
            </w:r>
          </w:p>
        </w:tc>
        <w:tc>
          <w:tcPr>
            <w:tcW w:type="dxa" w:w="3249"/>
            <w:vAlign w:val="top"/>
          </w:tcPr>
          <w:p>
            <w:r/>
            <w:r>
              <w:rPr>
                <w:b w:val="0"/>
                <w:sz w:val="18"/>
              </w:rPr>
              <w:t>Exakte Identifier-Matches sind eindeutig. Rescue-Matches können nützlich sein, werden aber wegen höherer Unsicherheit getrennt markiert.</w:t>
            </w:r>
          </w:p>
        </w:tc>
        <w:tc>
          <w:tcPr>
            <w:tcW w:type="dxa" w:w="3249"/>
            <w:vAlign w:val="top"/>
          </w:tcPr>
          <w:p>
            <w:r/>
            <w:r>
              <w:rPr>
                <w:b w:val="0"/>
                <w:sz w:val="18"/>
              </w:rPr>
              <w:t>Best practice für Provenance und Unsicherheitsdokumentation.</w:t>
            </w:r>
          </w:p>
        </w:tc>
      </w:tr>
      <w:tr>
        <w:tc>
          <w:tcPr>
            <w:tcW w:type="dxa" w:w="3249"/>
            <w:vAlign w:val="top"/>
          </w:tcPr>
          <w:p>
            <w:r/>
            <w:r>
              <w:rPr>
                <w:b w:val="0"/>
                <w:sz w:val="18"/>
              </w:rPr>
              <w:t>Längenvalidierung</w:t>
            </w:r>
          </w:p>
        </w:tc>
        <w:tc>
          <w:tcPr>
            <w:tcW w:type="dxa" w:w="3249"/>
            <w:vAlign w:val="top"/>
          </w:tcPr>
          <w:p>
            <w:r/>
            <w:r>
              <w:rPr>
                <w:b w:val="0"/>
                <w:sz w:val="18"/>
              </w:rPr>
              <w:t>Proteinlängenabweichungen können auf Stopcodon-Schätzungen, partielle Modelle oder Mappingfehler hinweisen und müssen daher protokolliert werden.</w:t>
            </w:r>
          </w:p>
        </w:tc>
        <w:tc>
          <w:tcPr>
            <w:tcW w:type="dxa" w:w="3249"/>
            <w:vAlign w:val="top"/>
          </w:tcPr>
          <w:p>
            <w:r/>
            <w:r>
              <w:rPr>
                <w:b w:val="0"/>
                <w:sz w:val="18"/>
              </w:rPr>
              <w:t>Qualitätskontrolle vor Protein-Domänenannotation.</w:t>
            </w:r>
          </w:p>
        </w:tc>
      </w:tr>
      <w:tr>
        <w:tc>
          <w:tcPr>
            <w:tcW w:type="dxa" w:w="3249"/>
            <w:vAlign w:val="top"/>
          </w:tcPr>
          <w:p>
            <w:r/>
            <w:r>
              <w:rPr>
                <w:b w:val="0"/>
                <w:sz w:val="18"/>
              </w:rPr>
              <w:t>Warnings-Datei und run_metadata.json</w:t>
            </w:r>
          </w:p>
        </w:tc>
        <w:tc>
          <w:tcPr>
            <w:tcW w:type="dxa" w:w="3249"/>
            <w:vAlign w:val="top"/>
          </w:tcPr>
          <w:p>
            <w:r/>
            <w:r>
              <w:rPr>
                <w:b w:val="0"/>
                <w:sz w:val="18"/>
              </w:rPr>
              <w:t>Warnungen und Parameter erlauben spätere Nachvollziehbarkeit und verhindern, dass unsichere Fälle still in die Domänenanalyse eingehen.</w:t>
            </w:r>
          </w:p>
        </w:tc>
        <w:tc>
          <w:tcPr>
            <w:tcW w:type="dxa" w:w="3249"/>
            <w:vAlign w:val="top"/>
          </w:tcPr>
          <w:p>
            <w:r/>
            <w:r>
              <w:rPr>
                <w:b w:val="0"/>
                <w:sz w:val="18"/>
              </w:rPr>
              <w:t>FAIR-Prinzipien; reproduzierbare Workflow-Dokumentation.</w:t>
            </w:r>
          </w:p>
        </w:tc>
      </w:tr>
      <w:tr>
        <w:tc>
          <w:tcPr>
            <w:tcW w:type="dxa" w:w="3249"/>
            <w:vAlign w:val="top"/>
          </w:tcPr>
          <w:p>
            <w:r/>
            <w:r>
              <w:rPr>
                <w:b w:val="0"/>
                <w:sz w:val="18"/>
              </w:rPr>
              <w:t>Vorbereitung für InterProScan</w:t>
            </w:r>
          </w:p>
        </w:tc>
        <w:tc>
          <w:tcPr>
            <w:tcW w:type="dxa" w:w="3249"/>
            <w:vAlign w:val="top"/>
          </w:tcPr>
          <w:p>
            <w:r/>
            <w:r>
              <w:rPr>
                <w:b w:val="0"/>
                <w:sz w:val="18"/>
              </w:rPr>
              <w:t>InterProScan durchsucht Proteinsequenzen gegen integrierte Domänen- und Familienmodelle. Eine saubere FASTA-Eingabe ist Voraussetzung für korrekte Domain-Annotation.</w:t>
            </w:r>
          </w:p>
        </w:tc>
        <w:tc>
          <w:tcPr>
            <w:tcW w:type="dxa" w:w="3249"/>
            <w:vAlign w:val="top"/>
          </w:tcPr>
          <w:p>
            <w:r/>
            <w:r>
              <w:rPr>
                <w:b w:val="0"/>
                <w:sz w:val="18"/>
              </w:rPr>
              <w:t>Blum et al. 2021; Blum et al. 2025; InterPro documentation.</w:t>
            </w:r>
          </w:p>
        </w:tc>
      </w:tr>
    </w:tbl>
    <w:p>
      <w:pPr>
        <w:pStyle w:val="Heading1"/>
      </w:pPr>
      <w:r>
        <w:t>6. Pilotlauf und Qualitätskontrolle</w:t>
      </w:r>
    </w:p>
    <w:p>
      <w:r>
        <w:t>Im Dual-Source-Pilotlauf mit Homo sapiens, Mus musculus, Gallus gallus und Danio rerio wurden insgesamt 12 Proteinsequenzen exportiert. Dies entspricht vier Species mal drei Rollen (reference, FGFR2_IIIb_candidate und FGFR2_IIIc_candidate). Alle 12 Sequenzen wurden erfolgreich gematcht. Sechs Sequenzen wurden über Ensembl REST Translation-IDs und sechs über exakte NCBI-Protein-Accessions exportiert. Es wurden keine Rescue-Matches benötigt.</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FFF2CC"/>
          </w:tcPr>
          <w:p>
            <w:r/>
            <w:r>
              <w:rPr>
                <w:b/>
                <w:sz w:val="18"/>
              </w:rPr>
              <w:t>Metrik</w:t>
            </w:r>
          </w:p>
        </w:tc>
        <w:tc>
          <w:tcPr>
            <w:tcW w:type="dxa" w:w="2436"/>
            <w:shd w:fill="FFF2CC"/>
          </w:tcPr>
          <w:p>
            <w:r/>
            <w:r>
              <w:rPr>
                <w:b/>
                <w:sz w:val="18"/>
              </w:rPr>
              <w:t>Wert</w:t>
            </w:r>
          </w:p>
        </w:tc>
        <w:tc>
          <w:tcPr>
            <w:tcW w:type="dxa" w:w="2436"/>
            <w:shd w:fill="FFF2CC"/>
          </w:tcPr>
          <w:p>
            <w:r/>
            <w:r>
              <w:rPr>
                <w:b/>
                <w:sz w:val="18"/>
              </w:rPr>
              <w:t>Interpretation</w:t>
            </w:r>
          </w:p>
        </w:tc>
        <w:tc>
          <w:tcPr>
            <w:tcW w:type="dxa" w:w="2436"/>
            <w:shd w:fill="FFF2CC"/>
          </w:tcPr>
          <w:p>
            <w:r/>
            <w:r>
              <w:rPr>
                <w:b/>
                <w:sz w:val="18"/>
              </w:rPr>
              <w:t>Relevanz</w:t>
            </w:r>
          </w:p>
        </w:tc>
      </w:tr>
      <w:tr>
        <w:tc>
          <w:tcPr>
            <w:tcW w:type="dxa" w:w="2436"/>
          </w:tcPr>
          <w:p>
            <w:r/>
            <w:r>
              <w:rPr>
                <w:b w:val="0"/>
                <w:sz w:val="18"/>
              </w:rPr>
              <w:t>FASTA records written</w:t>
            </w:r>
          </w:p>
        </w:tc>
        <w:tc>
          <w:tcPr>
            <w:tcW w:type="dxa" w:w="2436"/>
          </w:tcPr>
          <w:p>
            <w:r/>
            <w:r>
              <w:rPr>
                <w:b w:val="0"/>
                <w:sz w:val="18"/>
              </w:rPr>
              <w:t>12</w:t>
            </w:r>
          </w:p>
        </w:tc>
        <w:tc>
          <w:tcPr>
            <w:tcW w:type="dxa" w:w="2436"/>
          </w:tcPr>
          <w:p>
            <w:r/>
            <w:r>
              <w:rPr>
                <w:b w:val="0"/>
                <w:sz w:val="18"/>
              </w:rPr>
              <w:t>Alle erwarteten Proteinsequenzen wurden exportiert.</w:t>
            </w:r>
          </w:p>
        </w:tc>
        <w:tc>
          <w:tcPr>
            <w:tcW w:type="dxa" w:w="2436"/>
          </w:tcPr>
          <w:p>
            <w:r/>
            <w:r>
              <w:rPr>
                <w:b w:val="0"/>
                <w:sz w:val="18"/>
              </w:rPr>
              <w:t>Vollständige Pilot-FASTA für InterProScan.</w:t>
            </w:r>
          </w:p>
        </w:tc>
      </w:tr>
      <w:tr>
        <w:tc>
          <w:tcPr>
            <w:tcW w:type="dxa" w:w="2436"/>
          </w:tcPr>
          <w:p>
            <w:r/>
            <w:r>
              <w:rPr>
                <w:b w:val="0"/>
                <w:sz w:val="18"/>
              </w:rPr>
              <w:t>Match status</w:t>
            </w:r>
          </w:p>
        </w:tc>
        <w:tc>
          <w:tcPr>
            <w:tcW w:type="dxa" w:w="2436"/>
          </w:tcPr>
          <w:p>
            <w:r/>
            <w:r>
              <w:rPr>
                <w:b w:val="0"/>
                <w:sz w:val="18"/>
              </w:rPr>
              <w:t>12 matched, 0 failed</w:t>
            </w:r>
          </w:p>
        </w:tc>
        <w:tc>
          <w:tcPr>
            <w:tcW w:type="dxa" w:w="2436"/>
          </w:tcPr>
          <w:p>
            <w:r/>
            <w:r>
              <w:rPr>
                <w:b w:val="0"/>
                <w:sz w:val="18"/>
              </w:rPr>
              <w:t>Kein ausgewählter Kandidat ging verloren.</w:t>
            </w:r>
          </w:p>
        </w:tc>
        <w:tc>
          <w:tcPr>
            <w:tcW w:type="dxa" w:w="2436"/>
          </w:tcPr>
          <w:p>
            <w:r/>
            <w:r>
              <w:rPr>
                <w:b w:val="0"/>
                <w:sz w:val="18"/>
              </w:rPr>
              <w:t>Hohe technische Vollständigkeit.</w:t>
            </w:r>
          </w:p>
        </w:tc>
      </w:tr>
      <w:tr>
        <w:tc>
          <w:tcPr>
            <w:tcW w:type="dxa" w:w="2436"/>
          </w:tcPr>
          <w:p>
            <w:r/>
            <w:r>
              <w:rPr>
                <w:b w:val="0"/>
                <w:sz w:val="18"/>
              </w:rPr>
              <w:t>Match methods</w:t>
            </w:r>
          </w:p>
        </w:tc>
        <w:tc>
          <w:tcPr>
            <w:tcW w:type="dxa" w:w="2436"/>
          </w:tcPr>
          <w:p>
            <w:r/>
            <w:r>
              <w:rPr>
                <w:b w:val="0"/>
                <w:sz w:val="18"/>
              </w:rPr>
              <w:t>6 Ensembl REST, 6 NCBI exact accession</w:t>
            </w:r>
          </w:p>
        </w:tc>
        <w:tc>
          <w:tcPr>
            <w:tcW w:type="dxa" w:w="2436"/>
          </w:tcPr>
          <w:p>
            <w:r/>
            <w:r>
              <w:rPr>
                <w:b w:val="0"/>
                <w:sz w:val="18"/>
              </w:rPr>
              <w:t>Beide Datenquellen wurden erfolgreich genutzt.</w:t>
            </w:r>
          </w:p>
        </w:tc>
        <w:tc>
          <w:tcPr>
            <w:tcW w:type="dxa" w:w="2436"/>
          </w:tcPr>
          <w:p>
            <w:r/>
            <w:r>
              <w:rPr>
                <w:b w:val="0"/>
                <w:sz w:val="18"/>
              </w:rPr>
              <w:t>Dual-Source-Funktion bestätigt.</w:t>
            </w:r>
          </w:p>
        </w:tc>
      </w:tr>
      <w:tr>
        <w:tc>
          <w:tcPr>
            <w:tcW w:type="dxa" w:w="2436"/>
          </w:tcPr>
          <w:p>
            <w:r/>
            <w:r>
              <w:rPr>
                <w:b w:val="0"/>
                <w:sz w:val="18"/>
              </w:rPr>
              <w:t>Warnings</w:t>
            </w:r>
          </w:p>
        </w:tc>
        <w:tc>
          <w:tcPr>
            <w:tcW w:type="dxa" w:w="2436"/>
          </w:tcPr>
          <w:p>
            <w:r/>
            <w:r>
              <w:rPr>
                <w:b w:val="0"/>
                <w:sz w:val="18"/>
              </w:rPr>
              <w:t>minor length differences</w:t>
            </w:r>
          </w:p>
        </w:tc>
        <w:tc>
          <w:tcPr>
            <w:tcW w:type="dxa" w:w="2436"/>
          </w:tcPr>
          <w:p>
            <w:r/>
            <w:r>
              <w:rPr>
                <w:b w:val="0"/>
                <w:sz w:val="18"/>
              </w:rPr>
              <w:t>Geringe Längenabweichungen, meist 1 aa, wurden dokumentiert.</w:t>
            </w:r>
          </w:p>
        </w:tc>
        <w:tc>
          <w:tcPr>
            <w:tcW w:type="dxa" w:w="2436"/>
          </w:tcPr>
          <w:p>
            <w:r/>
            <w:r>
              <w:rPr>
                <w:b w:val="0"/>
                <w:sz w:val="18"/>
              </w:rPr>
              <w:t>Nicht kritisch, aber transparent berichtet.</w:t>
            </w:r>
          </w:p>
        </w:tc>
      </w:tr>
      <w:tr>
        <w:tc>
          <w:tcPr>
            <w:tcW w:type="dxa" w:w="2436"/>
          </w:tcPr>
          <w:p>
            <w:r/>
            <w:r>
              <w:rPr>
                <w:b w:val="0"/>
                <w:sz w:val="18"/>
              </w:rPr>
              <w:t>Rescue matches</w:t>
            </w:r>
          </w:p>
        </w:tc>
        <w:tc>
          <w:tcPr>
            <w:tcW w:type="dxa" w:w="2436"/>
          </w:tcPr>
          <w:p>
            <w:r/>
            <w:r>
              <w:rPr>
                <w:b w:val="0"/>
                <w:sz w:val="18"/>
              </w:rPr>
              <w:t>0</w:t>
            </w:r>
          </w:p>
        </w:tc>
        <w:tc>
          <w:tcPr>
            <w:tcW w:type="dxa" w:w="2436"/>
          </w:tcPr>
          <w:p>
            <w:r/>
            <w:r>
              <w:rPr>
                <w:b w:val="0"/>
                <w:sz w:val="18"/>
              </w:rPr>
              <w:t>Kein unsicherer produkt-/längenbasierter Rescue war nötig.</w:t>
            </w:r>
          </w:p>
        </w:tc>
        <w:tc>
          <w:tcPr>
            <w:tcW w:type="dxa" w:w="2436"/>
          </w:tcPr>
          <w:p>
            <w:r/>
            <w:r>
              <w:rPr>
                <w:b w:val="0"/>
                <w:sz w:val="18"/>
              </w:rPr>
              <w:t>Sehr gute Match-Qualität im Pilotlauf.</w:t>
            </w:r>
          </w:p>
        </w:tc>
      </w:tr>
    </w:tbl>
    <w:p>
      <w:pPr>
        <w:pStyle w:val="Heading1"/>
      </w:pPr>
      <w:r>
        <w:t>7. Direkt verwendbarer Methodentext für die Bachelorarbeit</w:t>
      </w:r>
    </w:p>
    <w:p>
      <w:r>
        <w:t>Für die anschließende Domänenannotation wurden Proteinsequenzen der ausgewählten FGFR2-Transkripte exportiert. Da die Transkriptauswahl rollenbasiert erfolgte, wurden auch die FASTA-Einträge rollenbasiert erzeugt. Dadurch konnten InterProScan-Ergebnisse später eindeutig auf Referenz-, IIIb- und IIIc-Kandidaten zurückgeführt werden. Für Ensembl-basierte Modelle wurden Proteinsequenzen über Translation-IDs mithilfe der Ensembl REST API abgefragt. Für NCBI-basierte Modelle wurden Transkript-Protein-Zuordnungen aus GFF3-CDS-Features extrahiert und Proteinsequenzen aus den zugehörigen NCBI-Datasets-FASTA-Dateien verwendet. Exakte Identifier-Matches wurden als high-confidence behandelt, während produkt-, species- und längenbasierte Rescue-Matches separat dokumentiert und als medium-confidence bewertet wurden. Jeder exportierten Sequenz wurde eine eindeutige FASTA-ID zugewiesen; die vollständige Zuordnung zu Species, Datenquelle, Transkript, Protein-ID und Auswahlrolle wurde in einer Mapping-Tabelle gespeichert. Zusätzlich wurden erwartete und beobachtete Proteinlängen verglichen und potenzielle Abweichungen in einer Warnings-Datei dokumentiert. Dieser Schritt stellt somit sicher, dass die nachfolgende Protein-Domänenannotation reproduzierbar, rückverfolgbar und annotation-aware durchgeführt werden kann.</w:t>
      </w:r>
    </w:p>
    <w:p>
      <w:pPr>
        <w:pStyle w:val="Heading1"/>
      </w:pPr>
      <w:r>
        <w:t>8. Limitierungen und wissenschaftliche Einordnung</w:t>
      </w:r>
    </w:p>
    <w:p>
      <w:pPr>
        <w:pStyle w:val="ListBullet"/>
      </w:pPr>
      <w:r>
        <w:t>Der Proteinexport validiert die Übereinstimmung zwischen ausgewähltem Transkript und exportierter Proteinsequenz, ersetzt aber keine manuelle biologische Kurationsprüfung für alle Spezies.</w:t>
      </w:r>
    </w:p>
    <w:p>
      <w:pPr>
        <w:pStyle w:val="ListBullet"/>
      </w:pPr>
      <w:r>
        <w:t>NCBI-GFF3-basierte Modelle können in einigen Fällen keine direkte Translation-ID enthalten. Solche Fälle müssen über Protein-Accessions oder kontrollierte Rescue-Strategien behandelt und dokumentiert werden.</w:t>
      </w:r>
    </w:p>
    <w:p>
      <w:pPr>
        <w:pStyle w:val="ListBullet"/>
      </w:pPr>
      <w:r>
        <w:t>Kleine Längenabweichungen können durch CDS-basierte Längenschätzungen, Stopcodonbehandlung oder Datenbankkonventionen entstehen. Sie werden deshalb nicht automatisch als Fehler bewertet, sondern als QC-Merkmal dokumentiert.</w:t>
      </w:r>
    </w:p>
    <w:p>
      <w:pPr>
        <w:pStyle w:val="ListBullet"/>
      </w:pPr>
      <w:r>
        <w:t>Ensembl REST-Abfragen sind von der Erreichbarkeit und dem aktuellen Datenbankstand abhängig. Deshalb werden Run-Zeitpunkt, Input-Dateien und Parameter in run_metadata.json gespeichert.</w:t>
      </w:r>
    </w:p>
    <w:p>
      <w:pPr>
        <w:pStyle w:val="ListBullet"/>
      </w:pPr>
      <w:r>
        <w:t>InterProScan-Ergebnisse hängen von den übergebenen Proteinsequenzen und der verwendeten InterProScan-/InterPro-Version ab. Die Versionen müssen im späteren InterProScan-Schritt separat dokumentiert werden.</w:t>
      </w:r>
    </w:p>
    <w:p>
      <w:pPr>
        <w:pStyle w:val="Heading1"/>
      </w:pPr>
      <w:r>
        <w:t>9. Implementierte Tests</w:t>
      </w:r>
    </w:p>
    <w:p>
      <w:r>
        <w:t>Für export_selected_fgfr2_proteins_complete_v2.py wurde eine separate pytest-Testdatei erstellt. Lokal wurden alle sechs Tests erfolgreich ausgeführt.</w:t>
      </w:r>
    </w:p>
    <w:p>
      <w:pPr>
        <w:pStyle w:val="ListBullet"/>
      </w:pPr>
      <w:r>
        <w:t>NCBI exact accession match mit synthetischem GFF3 und protein.faa.</w:t>
      </w:r>
    </w:p>
    <w:p>
      <w:pPr>
        <w:pStyle w:val="ListBullet"/>
      </w:pPr>
      <w:r>
        <w:t>NCBI Rescue-Match über Produktname, Species und erwartete Länge.</w:t>
      </w:r>
    </w:p>
    <w:p>
      <w:pPr>
        <w:pStyle w:val="ListBullet"/>
      </w:pPr>
      <w:r>
        <w:t>Ensembl-Mock-Test ohne Live-REST-Abhängigkeit.</w:t>
      </w:r>
    </w:p>
    <w:p>
      <w:pPr>
        <w:pStyle w:val="ListBullet"/>
      </w:pPr>
      <w:r>
        <w:t>Erkennung und Dokumentation von Längenabweichungen.</w:t>
      </w:r>
    </w:p>
    <w:p>
      <w:pPr>
        <w:pStyle w:val="ListBullet"/>
      </w:pPr>
      <w:r>
        <w:t>Strict-Mode-Abbruch bei fehlendem Input-Schema.</w:t>
      </w:r>
    </w:p>
    <w:p>
      <w:pPr>
        <w:pStyle w:val="ListBullet"/>
      </w:pPr>
      <w:r>
        <w:t>Erzeugung von FASTA, Report, Warnings, HTML/Markdown-Report und run_metadata.json.</w:t>
      </w:r>
    </w:p>
    <w:p>
      <w:pPr>
        <w:pStyle w:val="Heading1"/>
      </w:pPr>
      <w:r>
        <w:t>10. Empfehlung für den nächsten Workflow-Schritt</w:t>
      </w:r>
    </w:p>
    <w:p>
      <w:r>
        <w:t>Nach erfolgreichem Proteinexport sollte die erzeugte FASTA-Datei mit prepare_interpro_clean_fasta.py weiter vorbereitet werden. Dieser nächste Schritt sollte prüfen, ob FASTA-IDs eindeutig bleiben, ob Sequenzen keine problematischen Zeichen enthalten, ob leere oder extrem kurze Sequenzen entfernt werden und ob eine unveränderte Mapping-Tabelle für die spätere Rückführung der InterProScan-Ergebnisse erhalten bleibt.</w:t>
      </w:r>
    </w:p>
    <w:p>
      <w:pPr>
        <w:pStyle w:val="Heading1"/>
      </w:pPr>
      <w:r>
        <w:t>11. Literaturverzeichnis</w:t>
      </w:r>
    </w:p>
    <w:p>
      <w:pPr>
        <w:pStyle w:val="ListNumber"/>
      </w:pPr>
      <w:r>
        <w:t>Blum, M. et al. (2021). The InterPro protein families and domains database: 20 years on. Nucleic Acids Research, 49(D1), D344-D354.</w:t>
      </w:r>
    </w:p>
    <w:p>
      <w:pPr>
        <w:pStyle w:val="ListNumber"/>
      </w:pPr>
      <w:r>
        <w:t>Blum, M. et al. (2025). InterPro: the protein sequence classification resource in 2025. Nucleic Acids Research, 53(D1), D444-D456.</w:t>
      </w:r>
    </w:p>
    <w:p>
      <w:pPr>
        <w:pStyle w:val="ListNumber"/>
      </w:pPr>
      <w:r>
        <w:t>Goldfarb, T. et al. (2025). NCBI RefSeq: reference sequence standards through 25 years of curation and annotation. Nucleic Acids Research, 53(D1), D243-D257.</w:t>
      </w:r>
    </w:p>
    <w:p>
      <w:pPr>
        <w:pStyle w:val="ListNumber"/>
      </w:pPr>
      <w:r>
        <w:t>NCBI. RefSeq: NCBI Reference Sequence Database. Dokumentation der kuratierten Referenzsequenzressource für Genome, Transkripte und Proteine.</w:t>
      </w:r>
    </w:p>
    <w:p>
      <w:pPr>
        <w:pStyle w:val="ListNumber"/>
      </w:pPr>
      <w:r>
        <w:t>NCBI Datasets Documentation. Genome Data Package and Command Line Tools. Dokumentation zu strukturierten Download-Paketen mit Genom-, Annotation- und Proteinsequenzdaten.</w:t>
      </w:r>
    </w:p>
    <w:p>
      <w:pPr>
        <w:pStyle w:val="ListNumber"/>
      </w:pPr>
      <w:r>
        <w:t>Wilkinson, M. D. et al. (2016). The FAIR Guiding Principles for scientific data management and stewardship. Scientific Data, 3, 160018.</w:t>
      </w:r>
    </w:p>
    <w:p>
      <w:pPr>
        <w:pStyle w:val="ListNumber"/>
      </w:pPr>
      <w:r>
        <w:t>Yates, A. et al. (2014). The Ensembl REST API: Ensembl Data for Any Language. Bioinformatics, 31(1), 143-145.</w:t>
      </w:r>
    </w:p>
    <w:p>
      <w:pPr>
        <w:pStyle w:val="ListNumber"/>
      </w:pPr>
      <w:r>
        <w:t>Ensembl REST API Documentation. sequence/id endpoint: retrieval of sequences by stable identifier.</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Methodenbeschreibung - export_selected_fgfr2_proteins_complete_v2.py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Methodenbeschreibung export_selected_fgfr2_proteins_complete_v2</dc:title>
  <dc:subject>Bachelorarbeit FGFR2 Pipeline</dc:subject>
  <dc:creator>OpenAI ChatGPT für Anni Arinova</dc:creator>
  <cp:keywords>FGFR2, protein export, Ensembl, NCBI, InterProScan, FASTA, FAIR</cp:keywords>
  <dc:description>generated by python-docx</dc:description>
  <cp:lastModifiedBy/>
  <cp:revision>1</cp:revision>
  <dcterms:created xsi:type="dcterms:W3CDTF">2013-12-23T23:15:00Z</dcterms:created>
  <dcterms:modified xsi:type="dcterms:W3CDTF">2013-12-23T23:15:00Z</dcterms:modified>
  <cp:category/>
</cp:coreProperties>
</file>