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Methodenbeschreibung: Vorbereitung der FGFR2-Proteinsequenzen für InterProScan</w:t>
      </w:r>
    </w:p>
    <w:p>
      <w:pPr>
        <w:jc w:val="center"/>
      </w:pPr>
      <w:r>
        <w:rPr>
          <w:i/>
        </w:rPr>
        <w:t>Script: prepare_interpro_clean_fasta_v2.py</w:t>
      </w:r>
    </w:p>
    <w:p>
      <w:r>
        <w:rPr>
          <w:b/>
        </w:rPr>
        <w:t xml:space="preserve">Kurzbeschreibung. </w:t>
      </w:r>
      <w:r>
        <w:t>Dieser Pipeline-Schritt bereitet die zuvor exportierten, rollenbasierten FGFR2-Proteinsequenzen für die Domänenannotation mit InterProScan vor. Das Script validiert FASTA-Einträge, erzeugt stabile Analyse-IDs, entfernt redundante identische Proteinsequenzen ohne Informationsverlust und schreibt Mapping-, Warning- und Metadaten-Dateien. Dadurch bleiben InterProScan-Ergebnisse später eindeutig auf Species, Transkript, Datenquelle und Auswahlrolle zurückführbar.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Aspekt</w:t>
            </w:r>
          </w:p>
        </w:tc>
        <w:tc>
          <w:tcPr>
            <w:tcW w:type="dxa" w:w="5040"/>
            <w:shd w:fill="D9EAF7"/>
          </w:tcPr>
          <w:p>
            <w:r/>
            <w:r>
              <w:rPr>
                <w:b/>
                <w:sz w:val="18"/>
              </w:rPr>
              <w:t>Beschreibung</w:t>
            </w:r>
          </w:p>
        </w:tc>
      </w:tr>
      <w:tr>
        <w:tc>
          <w:tcPr>
            <w:tcW w:type="dxa" w:w="5040"/>
            <w:vAlign w:val="top"/>
          </w:tcPr>
          <w:p>
            <w:r/>
            <w:r>
              <w:rPr>
                <w:b w:val="0"/>
                <w:sz w:val="18"/>
              </w:rPr>
              <w:t>Input</w:t>
            </w:r>
          </w:p>
        </w:tc>
        <w:tc>
          <w:tcPr>
            <w:tcW w:type="dxa" w:w="5040"/>
            <w:vAlign w:val="top"/>
          </w:tcPr>
          <w:p>
            <w:r/>
            <w:r>
              <w:rPr>
                <w:b w:val="0"/>
                <w:sz w:val="18"/>
              </w:rPr>
              <w:t>selected_fgfr2_proteins.faa aus export_selected_fgfr2_proteins_complete_v2.py; optional protein_export_report.tsv für zusätzliche Metadatenprüfung.</w:t>
            </w:r>
          </w:p>
        </w:tc>
      </w:tr>
      <w:tr>
        <w:tc>
          <w:tcPr>
            <w:tcW w:type="dxa" w:w="5040"/>
            <w:vAlign w:val="top"/>
          </w:tcPr>
          <w:p>
            <w:r/>
            <w:r>
              <w:rPr>
                <w:b w:val="0"/>
                <w:sz w:val="18"/>
              </w:rPr>
              <w:t>Hauptoutput</w:t>
            </w:r>
          </w:p>
        </w:tc>
        <w:tc>
          <w:tcPr>
            <w:tcW w:type="dxa" w:w="5040"/>
            <w:vAlign w:val="top"/>
          </w:tcPr>
          <w:p>
            <w:r/>
            <w:r>
              <w:rPr>
                <w:b w:val="0"/>
                <w:sz w:val="18"/>
              </w:rPr>
              <w:t>FGFR2_interpro_clean_unique.fasta als nicht-redundante FASTA für InterProScan.</w:t>
            </w:r>
          </w:p>
        </w:tc>
      </w:tr>
      <w:tr>
        <w:tc>
          <w:tcPr>
            <w:tcW w:type="dxa" w:w="5040"/>
            <w:vAlign w:val="top"/>
          </w:tcPr>
          <w:p>
            <w:r/>
            <w:r>
              <w:rPr>
                <w:b w:val="0"/>
                <w:sz w:val="18"/>
              </w:rPr>
              <w:t>Rückverfolgbarkeit</w:t>
            </w:r>
          </w:p>
        </w:tc>
        <w:tc>
          <w:tcPr>
            <w:tcW w:type="dxa" w:w="5040"/>
            <w:vAlign w:val="top"/>
          </w:tcPr>
          <w:p>
            <w:r/>
            <w:r>
              <w:rPr>
                <w:b w:val="0"/>
                <w:sz w:val="18"/>
              </w:rPr>
              <w:t>FGFR2_interpro_id_mapping.tsv und FGFR2_interpro_unique_mapping.tsv verknüpfen Clean-ID, Unique-ID, Original-FASTA-ID, Species, Source, Selection Role, Transcript und Protein.</w:t>
            </w:r>
          </w:p>
        </w:tc>
      </w:tr>
      <w:tr>
        <w:tc>
          <w:tcPr>
            <w:tcW w:type="dxa" w:w="5040"/>
            <w:vAlign w:val="top"/>
          </w:tcPr>
          <w:p>
            <w:r/>
            <w:r>
              <w:rPr>
                <w:b w:val="0"/>
                <w:sz w:val="18"/>
              </w:rPr>
              <w:t>Qualitätskontrolle</w:t>
            </w:r>
          </w:p>
        </w:tc>
        <w:tc>
          <w:tcPr>
            <w:tcW w:type="dxa" w:w="5040"/>
            <w:vAlign w:val="top"/>
          </w:tcPr>
          <w:p>
            <w:r/>
            <w:r>
              <w:rPr>
                <w:b w:val="0"/>
                <w:sz w:val="18"/>
              </w:rPr>
              <w:t>Sequenzvalidierung, Längenprüfung, Duplikatprüfung, Warning-Datei, Metadata JSON, Markdown- und HTML-Report.</w:t>
            </w:r>
          </w:p>
        </w:tc>
      </w:tr>
      <w:tr>
        <w:tc>
          <w:tcPr>
            <w:tcW w:type="dxa" w:w="5040"/>
            <w:vAlign w:val="top"/>
          </w:tcPr>
          <w:p>
            <w:r/>
            <w:r>
              <w:rPr>
                <w:b w:val="0"/>
                <w:sz w:val="18"/>
              </w:rPr>
              <w:t>Rolle im Workflow</w:t>
            </w:r>
          </w:p>
        </w:tc>
        <w:tc>
          <w:tcPr>
            <w:tcW w:type="dxa" w:w="5040"/>
            <w:vAlign w:val="top"/>
          </w:tcPr>
          <w:p>
            <w:r/>
            <w:r>
              <w:rPr>
                <w:b w:val="0"/>
                <w:sz w:val="18"/>
              </w:rPr>
              <w:t>Übergang von rollenbasierter Proteinexport-Tabelle zu InterProScan-kompatibler, reproduzierbarer Protein-FASTA.</w:t>
            </w:r>
          </w:p>
        </w:tc>
      </w:tr>
    </w:tbl>
    <w:p>
      <w:pPr>
        <w:pStyle w:val="Heading1"/>
      </w:pPr>
      <w:r>
        <w:t>1. Ziel des Pipeline-Schritts</w:t>
      </w:r>
    </w:p>
    <w:p>
      <w:r>
        <w:rPr>
          <w:b/>
        </w:rPr>
        <w:t xml:space="preserve">Ziel. </w:t>
      </w:r>
      <w:r>
        <w:t>Die Domänenannotation soll auf sauberen, eindeutigen und nicht-redundanten Proteinsequenzen durchgeführt werden. Vor InterProScan wird daher eine kontrollierte FASTA-Datei erzeugt, bei der technische Redundanz reduziert wird, ohne biologische oder methodische Information zu verlieren.</w:t>
      </w:r>
    </w:p>
    <w:p>
      <w:r>
        <w:rPr>
          <w:b/>
        </w:rPr>
        <w:t xml:space="preserve">Begründung. </w:t>
      </w:r>
      <w:r>
        <w:t>InterProScan klassifiziert Proteinsequenzen anhand der eingereichten Aminosäuresequenz gegen InterPro-Signaturen. Identische Aminosäuresequenzen führen daher erwartungsgemäß zu identischen Annotationen; eine explizite nicht-redundante FASTA reduziert Laufzeit und vermeidet unnötige Wiederholungen. Gleichzeitig ist eine Mapping-Tabelle notwendig, damit eine einmal analysierte Sequenz auf mehrere ursprüngliche Rollen oder Transkripte zurückgeführt werden kann (Jones et al., 2014; Blum et al., 2025; InterProScan documentation, 2025).</w:t>
      </w:r>
    </w:p>
    <w:p>
      <w:pPr>
        <w:pStyle w:val="Heading1"/>
      </w:pPr>
      <w:r>
        <w:t>2. Input und Output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Datei</w:t>
            </w:r>
          </w:p>
        </w:tc>
        <w:tc>
          <w:tcPr>
            <w:tcW w:type="dxa" w:w="3360"/>
            <w:shd w:fill="D9EAF7"/>
          </w:tcPr>
          <w:p>
            <w:r/>
            <w:r>
              <w:rPr>
                <w:b/>
                <w:sz w:val="18"/>
              </w:rPr>
              <w:t>Inhalt</w:t>
            </w:r>
          </w:p>
        </w:tc>
        <w:tc>
          <w:tcPr>
            <w:tcW w:type="dxa" w:w="3360"/>
            <w:shd w:fill="D9EAF7"/>
          </w:tcPr>
          <w:p>
            <w:r/>
            <w:r>
              <w:rPr>
                <w:b/>
                <w:sz w:val="18"/>
              </w:rPr>
              <w:t>Verwendung</w:t>
            </w:r>
          </w:p>
        </w:tc>
      </w:tr>
      <w:tr>
        <w:tc>
          <w:tcPr>
            <w:tcW w:type="dxa" w:w="3360"/>
            <w:vAlign w:val="top"/>
          </w:tcPr>
          <w:p>
            <w:r/>
            <w:r>
              <w:rPr>
                <w:b w:val="0"/>
                <w:sz w:val="18"/>
              </w:rPr>
              <w:t>selected_fgfr2_proteins.faa</w:t>
            </w:r>
          </w:p>
        </w:tc>
        <w:tc>
          <w:tcPr>
            <w:tcW w:type="dxa" w:w="3360"/>
            <w:vAlign w:val="top"/>
          </w:tcPr>
          <w:p>
            <w:r/>
            <w:r>
              <w:rPr>
                <w:b w:val="0"/>
                <w:sz w:val="18"/>
              </w:rPr>
              <w:t>Rollenbasierte FGFR2-Protein-FASTA mit IDs wie fgfr2prot_000001.</w:t>
            </w:r>
          </w:p>
        </w:tc>
        <w:tc>
          <w:tcPr>
            <w:tcW w:type="dxa" w:w="3360"/>
            <w:vAlign w:val="top"/>
          </w:tcPr>
          <w:p>
            <w:r/>
            <w:r>
              <w:rPr>
                <w:b w:val="0"/>
                <w:sz w:val="18"/>
              </w:rPr>
              <w:t>Primärer Input.</w:t>
            </w:r>
          </w:p>
        </w:tc>
      </w:tr>
      <w:tr>
        <w:tc>
          <w:tcPr>
            <w:tcW w:type="dxa" w:w="3360"/>
            <w:vAlign w:val="top"/>
          </w:tcPr>
          <w:p>
            <w:r/>
            <w:r>
              <w:rPr>
                <w:b w:val="0"/>
                <w:sz w:val="18"/>
              </w:rPr>
              <w:t>protein_export_report.tsv</w:t>
            </w:r>
          </w:p>
        </w:tc>
        <w:tc>
          <w:tcPr>
            <w:tcW w:type="dxa" w:w="3360"/>
            <w:vAlign w:val="top"/>
          </w:tcPr>
          <w:p>
            <w:r/>
            <w:r>
              <w:rPr>
                <w:b w:val="0"/>
                <w:sz w:val="18"/>
              </w:rPr>
              <w:t>Zuordnung von FASTA-ID zu Species, Transcript, Source, Protein-ID, Rolle und Match-Methode.</w:t>
            </w:r>
          </w:p>
        </w:tc>
        <w:tc>
          <w:tcPr>
            <w:tcW w:type="dxa" w:w="3360"/>
            <w:vAlign w:val="top"/>
          </w:tcPr>
          <w:p>
            <w:r/>
            <w:r>
              <w:rPr>
                <w:b w:val="0"/>
                <w:sz w:val="18"/>
              </w:rPr>
              <w:t>Optionaler Metadata-Abgleich.</w:t>
            </w:r>
          </w:p>
        </w:tc>
      </w:tr>
      <w:tr>
        <w:tc>
          <w:tcPr>
            <w:tcW w:type="dxa" w:w="3360"/>
            <w:vAlign w:val="top"/>
          </w:tcPr>
          <w:p>
            <w:r/>
            <w:r>
              <w:rPr>
                <w:b w:val="0"/>
                <w:sz w:val="18"/>
              </w:rPr>
              <w:t>FGFR2_interpro_clean_all.fasta</w:t>
            </w:r>
          </w:p>
        </w:tc>
        <w:tc>
          <w:tcPr>
            <w:tcW w:type="dxa" w:w="3360"/>
            <w:vAlign w:val="top"/>
          </w:tcPr>
          <w:p>
            <w:r/>
            <w:r>
              <w:rPr>
                <w:b w:val="0"/>
                <w:sz w:val="18"/>
              </w:rPr>
              <w:t>Alle akzeptierten Sequenzen mit bereinigten IDs.</w:t>
            </w:r>
          </w:p>
        </w:tc>
        <w:tc>
          <w:tcPr>
            <w:tcW w:type="dxa" w:w="3360"/>
            <w:vAlign w:val="top"/>
          </w:tcPr>
          <w:p>
            <w:r/>
            <w:r>
              <w:rPr>
                <w:b w:val="0"/>
                <w:sz w:val="18"/>
              </w:rPr>
              <w:t>Audit und Vollständigkeitskontrolle.</w:t>
            </w:r>
          </w:p>
        </w:tc>
      </w:tr>
      <w:tr>
        <w:tc>
          <w:tcPr>
            <w:tcW w:type="dxa" w:w="3360"/>
            <w:vAlign w:val="top"/>
          </w:tcPr>
          <w:p>
            <w:r/>
            <w:r>
              <w:rPr>
                <w:b w:val="0"/>
                <w:sz w:val="18"/>
              </w:rPr>
              <w:t>FGFR2_interpro_clean_unique.fasta</w:t>
            </w:r>
          </w:p>
        </w:tc>
        <w:tc>
          <w:tcPr>
            <w:tcW w:type="dxa" w:w="3360"/>
            <w:vAlign w:val="top"/>
          </w:tcPr>
          <w:p>
            <w:r/>
            <w:r>
              <w:rPr>
                <w:b w:val="0"/>
                <w:sz w:val="18"/>
              </w:rPr>
              <w:t>Eine Sequenz pro eindeutiger Aminosäuresequenz.</w:t>
            </w:r>
          </w:p>
        </w:tc>
        <w:tc>
          <w:tcPr>
            <w:tcW w:type="dxa" w:w="3360"/>
            <w:vAlign w:val="top"/>
          </w:tcPr>
          <w:p>
            <w:r/>
            <w:r>
              <w:rPr>
                <w:b w:val="0"/>
                <w:sz w:val="18"/>
              </w:rPr>
              <w:t>Empfohlener InterProScan-Input.</w:t>
            </w:r>
          </w:p>
        </w:tc>
      </w:tr>
      <w:tr>
        <w:tc>
          <w:tcPr>
            <w:tcW w:type="dxa" w:w="3360"/>
            <w:vAlign w:val="top"/>
          </w:tcPr>
          <w:p>
            <w:r/>
            <w:r>
              <w:rPr>
                <w:b w:val="0"/>
                <w:sz w:val="18"/>
              </w:rPr>
              <w:t>FGFR2_interpro_id_mapping.tsv</w:t>
            </w:r>
          </w:p>
        </w:tc>
        <w:tc>
          <w:tcPr>
            <w:tcW w:type="dxa" w:w="3360"/>
            <w:vAlign w:val="top"/>
          </w:tcPr>
          <w:p>
            <w:r/>
            <w:r>
              <w:rPr>
                <w:b w:val="0"/>
                <w:sz w:val="18"/>
              </w:rPr>
              <w:t>Mapping aller ursprünglichen FASTA-Einträge auf Clean- und Unique-IDs.</w:t>
            </w:r>
          </w:p>
        </w:tc>
        <w:tc>
          <w:tcPr>
            <w:tcW w:type="dxa" w:w="3360"/>
            <w:vAlign w:val="top"/>
          </w:tcPr>
          <w:p>
            <w:r/>
            <w:r>
              <w:rPr>
                <w:b w:val="0"/>
                <w:sz w:val="18"/>
              </w:rPr>
              <w:t>Rückführung der InterPro-Ergebnisse.</w:t>
            </w:r>
          </w:p>
        </w:tc>
      </w:tr>
      <w:tr>
        <w:tc>
          <w:tcPr>
            <w:tcW w:type="dxa" w:w="3360"/>
            <w:vAlign w:val="top"/>
          </w:tcPr>
          <w:p>
            <w:r/>
            <w:r>
              <w:rPr>
                <w:b w:val="0"/>
                <w:sz w:val="18"/>
              </w:rPr>
              <w:t>FGFR2_interpro_unique_mapping.tsv</w:t>
            </w:r>
          </w:p>
        </w:tc>
        <w:tc>
          <w:tcPr>
            <w:tcW w:type="dxa" w:w="3360"/>
            <w:vAlign w:val="top"/>
          </w:tcPr>
          <w:p>
            <w:r/>
            <w:r>
              <w:rPr>
                <w:b w:val="0"/>
                <w:sz w:val="18"/>
              </w:rPr>
              <w:t>Zusammenfassung pro eindeutiger Sequenz.</w:t>
            </w:r>
          </w:p>
        </w:tc>
        <w:tc>
          <w:tcPr>
            <w:tcW w:type="dxa" w:w="3360"/>
            <w:vAlign w:val="top"/>
          </w:tcPr>
          <w:p>
            <w:r/>
            <w:r>
              <w:rPr>
                <w:b w:val="0"/>
                <w:sz w:val="18"/>
              </w:rPr>
              <w:t>Kontrolle kollabierter Duplikate.</w:t>
            </w:r>
          </w:p>
        </w:tc>
      </w:tr>
      <w:tr>
        <w:tc>
          <w:tcPr>
            <w:tcW w:type="dxa" w:w="3360"/>
            <w:vAlign w:val="top"/>
          </w:tcPr>
          <w:p>
            <w:r/>
            <w:r>
              <w:rPr>
                <w:b w:val="0"/>
                <w:sz w:val="18"/>
              </w:rPr>
              <w:t>FGFR2_interpro_prepare_warnings.tsv</w:t>
            </w:r>
          </w:p>
        </w:tc>
        <w:tc>
          <w:tcPr>
            <w:tcW w:type="dxa" w:w="3360"/>
            <w:vAlign w:val="top"/>
          </w:tcPr>
          <w:p>
            <w:r/>
            <w:r>
              <w:rPr>
                <w:b w:val="0"/>
                <w:sz w:val="18"/>
              </w:rPr>
              <w:t>Warnungen zu Sequenzlänge, ambigen Zeichen oder Validierung.</w:t>
            </w:r>
          </w:p>
        </w:tc>
        <w:tc>
          <w:tcPr>
            <w:tcW w:type="dxa" w:w="3360"/>
            <w:vAlign w:val="top"/>
          </w:tcPr>
          <w:p>
            <w:r/>
            <w:r>
              <w:rPr>
                <w:b w:val="0"/>
                <w:sz w:val="18"/>
              </w:rPr>
              <w:t>Qualitätskontrolle.</w:t>
            </w:r>
          </w:p>
        </w:tc>
      </w:tr>
      <w:tr>
        <w:tc>
          <w:tcPr>
            <w:tcW w:type="dxa" w:w="3360"/>
            <w:vAlign w:val="top"/>
          </w:tcPr>
          <w:p>
            <w:r/>
            <w:r>
              <w:rPr>
                <w:b w:val="0"/>
                <w:sz w:val="18"/>
              </w:rPr>
              <w:t>run_metadata.json</w:t>
            </w:r>
          </w:p>
        </w:tc>
        <w:tc>
          <w:tcPr>
            <w:tcW w:type="dxa" w:w="3360"/>
            <w:vAlign w:val="top"/>
          </w:tcPr>
          <w:p>
            <w:r/>
            <w:r>
              <w:rPr>
                <w:b w:val="0"/>
                <w:sz w:val="18"/>
              </w:rPr>
              <w:t>Parameter, Zählwerte, Input/Output-Pfade und Laufzeitinformationen.</w:t>
            </w:r>
          </w:p>
        </w:tc>
        <w:tc>
          <w:tcPr>
            <w:tcW w:type="dxa" w:w="3360"/>
            <w:vAlign w:val="top"/>
          </w:tcPr>
          <w:p>
            <w:r/>
            <w:r>
              <w:rPr>
                <w:b w:val="0"/>
                <w:sz w:val="18"/>
              </w:rPr>
              <w:t>Reproduzierbarkeit.</w:t>
            </w:r>
          </w:p>
        </w:tc>
      </w:tr>
    </w:tbl>
    <w:p>
      <w:pPr>
        <w:pStyle w:val="Heading1"/>
      </w:pPr>
      <w:r>
        <w:t>3. Algorithmische Vorgehensweise</w:t>
      </w:r>
    </w:p>
    <w:p>
      <w:pPr>
        <w:pStyle w:val="Heading2"/>
      </w:pPr>
      <w:r>
        <w:t>3.1 FASTA-Parsing und Header-Normalisierung</w:t>
      </w:r>
    </w:p>
    <w:p>
      <w:r>
        <w:t>Das Script liest die Protein-FASTA sequenziell ein und extrahiert Metadaten aus den Headern. Sonderzeichen werden in stabilen, InterProScan-kompatiblen IDs vermieden. Dadurch werden Probleme mit langen oder uneinheitlichen FASTA-Headern reduziert.</w:t>
      </w:r>
    </w:p>
    <w:p>
      <w:pPr>
        <w:pStyle w:val="Heading2"/>
      </w:pPr>
      <w:r>
        <w:t>3.2 Sequenzvalidierung</w:t>
      </w:r>
    </w:p>
    <w:p>
      <w:r>
        <w:t>Jede Proteinsequenz wird auf Mindestlänge, Maximalgröße, Stop-Zeichen und ungültige Symbole geprüft. Ambige Aminosäurezeichen wie X, B, Z oder U werden als Warnung dokumentiert, aber nicht automatisch ausgeschlossen, da solche Zeichen in realen Proteinannotation vorkommen können.</w:t>
      </w:r>
    </w:p>
    <w:p>
      <w:pPr>
        <w:pStyle w:val="Heading2"/>
      </w:pPr>
      <w:r>
        <w:t>3.3 Nicht-redundante Sequenzbildung</w:t>
      </w:r>
    </w:p>
    <w:p>
      <w:r>
        <w:t>Identische Aminosäuresequenzen werden anhand der vollständigen Sequenz erkannt und in einer eindeutigen Unique-ID zusammengefasst. Die Originaleinträge bleiben über Mapping-Dateien erhalten. Dadurch wird die InterProScan-Laufzeit reduziert, ohne Rolleninformationen zu verlieren.</w:t>
      </w:r>
    </w:p>
    <w:p>
      <w:pPr>
        <w:pStyle w:val="Heading2"/>
      </w:pPr>
      <w:r>
        <w:t>3.4 Mapping und Rückverfolgbarkeit</w:t>
      </w:r>
    </w:p>
    <w:p>
      <w:r>
        <w:t>Für jede ursprüngliche FASTA-ID wird dokumentiert, auf welche Clean-ID und Unique-ID sie abgebildet wurde. Zusätzlich werden Species, Source, Auswahlrolle, Transcript-ID, Protein-ID und Isoforminformationen übernommen, soweit sie aus dem Proteinexport-Report verfügbar sind.</w:t>
      </w:r>
    </w:p>
    <w:p>
      <w:pPr>
        <w:pStyle w:val="Heading2"/>
      </w:pPr>
      <w:r>
        <w:t>3.5 Batch-Splitting</w:t>
      </w:r>
    </w:p>
    <w:p>
      <w:r>
        <w:t>Die nicht-redundante FASTA kann in Teil-Dateien aufgeteilt werden. Das erleichtert InterProScan-Läufe auf lokalen Rechnern oder Cluster-Systemen und macht lange Laufzeiten besser kontrollierbar.</w:t>
      </w:r>
    </w:p>
    <w:p>
      <w:pPr>
        <w:pStyle w:val="Heading2"/>
      </w:pPr>
      <w:r>
        <w:t>3.6 Reports und Metadaten</w:t>
      </w:r>
    </w:p>
    <w:p>
      <w:r>
        <w:t>Das Script erzeugt einen Markdown-/HTML-Report und run_metadata.json. Diese Dateien dokumentieren akzeptierte Sequenzen, Unique-Sequenzen, kollabierte Duplikate, Warnungen und die verwendeten Parameter.</w:t>
      </w:r>
    </w:p>
    <w:p>
      <w:pPr>
        <w:pStyle w:val="Heading1"/>
      </w:pPr>
      <w:r>
        <w:t>4. Wissenschaftliche Begründung der Designentscheidungen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Entscheidung</w:t>
            </w:r>
          </w:p>
        </w:tc>
        <w:tc>
          <w:tcPr>
            <w:tcW w:type="dxa" w:w="3360"/>
            <w:shd w:fill="D9EAF7"/>
          </w:tcPr>
          <w:p>
            <w:r/>
            <w:r>
              <w:rPr>
                <w:b/>
                <w:sz w:val="18"/>
              </w:rPr>
              <w:t>Begründung</w:t>
            </w:r>
          </w:p>
        </w:tc>
        <w:tc>
          <w:tcPr>
            <w:tcW w:type="dxa" w:w="3360"/>
            <w:shd w:fill="D9EAF7"/>
          </w:tcPr>
          <w:p>
            <w:r/>
            <w:r>
              <w:rPr>
                <w:b/>
                <w:sz w:val="18"/>
              </w:rPr>
              <w:t>Literatur</w:t>
            </w:r>
          </w:p>
        </w:tc>
      </w:tr>
      <w:tr>
        <w:tc>
          <w:tcPr>
            <w:tcW w:type="dxa" w:w="3360"/>
            <w:vAlign w:val="top"/>
          </w:tcPr>
          <w:p>
            <w:r/>
            <w:r>
              <w:rPr>
                <w:b w:val="0"/>
                <w:sz w:val="18"/>
              </w:rPr>
              <w:t>Protein-FASTA statt Nukleotidsequenzen</w:t>
            </w:r>
          </w:p>
        </w:tc>
        <w:tc>
          <w:tcPr>
            <w:tcW w:type="dxa" w:w="3360"/>
            <w:vAlign w:val="top"/>
          </w:tcPr>
          <w:p>
            <w:r/>
            <w:r>
              <w:rPr>
                <w:b w:val="0"/>
                <w:sz w:val="18"/>
              </w:rPr>
              <w:t>InterProScan kann zwar auch Nukleotidsequenzen verarbeiten, die Proteinanalyse ist hier jedoch direkter, weil die Pipeline bereits ausgewählte FGFR2-Proteinprodukte untersucht und Exon-Domain-Grenzen auf Protein-Koordinaten abbilden möchte.</w:t>
            </w:r>
          </w:p>
        </w:tc>
        <w:tc>
          <w:tcPr>
            <w:tcW w:type="dxa" w:w="3360"/>
            <w:vAlign w:val="top"/>
          </w:tcPr>
          <w:p>
            <w:r/>
            <w:r>
              <w:rPr>
                <w:b w:val="0"/>
                <w:sz w:val="18"/>
              </w:rPr>
              <w:t>Jones et al. (2014); InterProScan documentation (2025)</w:t>
            </w:r>
          </w:p>
        </w:tc>
      </w:tr>
      <w:tr>
        <w:tc>
          <w:tcPr>
            <w:tcW w:type="dxa" w:w="3360"/>
            <w:vAlign w:val="top"/>
          </w:tcPr>
          <w:p>
            <w:r/>
            <w:r>
              <w:rPr>
                <w:b w:val="0"/>
                <w:sz w:val="18"/>
              </w:rPr>
              <w:t>Nicht-redundante FASTA</w:t>
            </w:r>
          </w:p>
        </w:tc>
        <w:tc>
          <w:tcPr>
            <w:tcW w:type="dxa" w:w="3360"/>
            <w:vAlign w:val="top"/>
          </w:tcPr>
          <w:p>
            <w:r/>
            <w:r>
              <w:rPr>
                <w:b w:val="0"/>
                <w:sz w:val="18"/>
              </w:rPr>
              <w:t>Identische Proteinsequenzen würden dieselben Domänenmatches erzeugen. Nicht-redundante Eingabe spart Rechenzeit, solange die Rückführung über Mapping-Dateien erhalten bleibt.</w:t>
            </w:r>
          </w:p>
        </w:tc>
        <w:tc>
          <w:tcPr>
            <w:tcW w:type="dxa" w:w="3360"/>
            <w:vAlign w:val="top"/>
          </w:tcPr>
          <w:p>
            <w:r/>
            <w:r>
              <w:rPr>
                <w:b w:val="0"/>
                <w:sz w:val="18"/>
              </w:rPr>
              <w:t>InterProScan documentation (2025); Blum et al. (2025)</w:t>
            </w:r>
          </w:p>
        </w:tc>
      </w:tr>
      <w:tr>
        <w:tc>
          <w:tcPr>
            <w:tcW w:type="dxa" w:w="3360"/>
            <w:vAlign w:val="top"/>
          </w:tcPr>
          <w:p>
            <w:r/>
            <w:r>
              <w:rPr>
                <w:b w:val="0"/>
                <w:sz w:val="18"/>
              </w:rPr>
              <w:t>Stabile kurze IDs</w:t>
            </w:r>
          </w:p>
        </w:tc>
        <w:tc>
          <w:tcPr>
            <w:tcW w:type="dxa" w:w="3360"/>
            <w:vAlign w:val="top"/>
          </w:tcPr>
          <w:p>
            <w:r/>
            <w:r>
              <w:rPr>
                <w:b w:val="0"/>
                <w:sz w:val="18"/>
              </w:rPr>
              <w:t>Kurze maschinenlesbare IDs reduzieren Probleme mit Downstream-Tools, während ausführliche biologische Metadaten separat gespeichert werden.</w:t>
            </w:r>
          </w:p>
        </w:tc>
        <w:tc>
          <w:tcPr>
            <w:tcW w:type="dxa" w:w="3360"/>
            <w:vAlign w:val="top"/>
          </w:tcPr>
          <w:p>
            <w:r/>
            <w:r>
              <w:rPr>
                <w:b w:val="0"/>
                <w:sz w:val="18"/>
              </w:rPr>
              <w:t>Wilkinson et al. (2016)</w:t>
            </w:r>
          </w:p>
        </w:tc>
      </w:tr>
      <w:tr>
        <w:tc>
          <w:tcPr>
            <w:tcW w:type="dxa" w:w="3360"/>
            <w:vAlign w:val="top"/>
          </w:tcPr>
          <w:p>
            <w:r/>
            <w:r>
              <w:rPr>
                <w:b w:val="0"/>
                <w:sz w:val="18"/>
              </w:rPr>
              <w:t>Warning- und Metadata-Dateien</w:t>
            </w:r>
          </w:p>
        </w:tc>
        <w:tc>
          <w:tcPr>
            <w:tcW w:type="dxa" w:w="3360"/>
            <w:vAlign w:val="top"/>
          </w:tcPr>
          <w:p>
            <w:r/>
            <w:r>
              <w:rPr>
                <w:b w:val="0"/>
                <w:sz w:val="18"/>
              </w:rPr>
              <w:t>Unsicherheiten und Parameter werden explizit dokumentiert, statt stillschweigend in den Ergebnissen zu verschwinden. Das unterstützt Reproduzierbarkeit und Nachnutzbarkeit.</w:t>
            </w:r>
          </w:p>
        </w:tc>
        <w:tc>
          <w:tcPr>
            <w:tcW w:type="dxa" w:w="3360"/>
            <w:vAlign w:val="top"/>
          </w:tcPr>
          <w:p>
            <w:r/>
            <w:r>
              <w:rPr>
                <w:b w:val="0"/>
                <w:sz w:val="18"/>
              </w:rPr>
              <w:t>Wilkinson et al. (2016)</w:t>
            </w:r>
          </w:p>
        </w:tc>
      </w:tr>
      <w:tr>
        <w:tc>
          <w:tcPr>
            <w:tcW w:type="dxa" w:w="3360"/>
            <w:vAlign w:val="top"/>
          </w:tcPr>
          <w:p>
            <w:r/>
            <w:r>
              <w:rPr>
                <w:b w:val="0"/>
                <w:sz w:val="18"/>
              </w:rPr>
              <w:t>Sequenzlängen- und Zeichenprüfung</w:t>
            </w:r>
          </w:p>
        </w:tc>
        <w:tc>
          <w:tcPr>
            <w:tcW w:type="dxa" w:w="3360"/>
            <w:vAlign w:val="top"/>
          </w:tcPr>
          <w:p>
            <w:r/>
            <w:r>
              <w:rPr>
                <w:b w:val="0"/>
                <w:sz w:val="18"/>
              </w:rPr>
              <w:t>Domänenannotation ist sensitiv gegenüber falschen, fragmentierten oder nicht-proteinartigen Sequenzen. Qualitätskontrolle vor InterProScan reduziert technische Artefakte.</w:t>
            </w:r>
          </w:p>
        </w:tc>
        <w:tc>
          <w:tcPr>
            <w:tcW w:type="dxa" w:w="3360"/>
            <w:vAlign w:val="top"/>
          </w:tcPr>
          <w:p>
            <w:r/>
            <w:r>
              <w:rPr>
                <w:b w:val="0"/>
                <w:sz w:val="18"/>
              </w:rPr>
              <w:t>Jones et al. (2014); Blum et al. (2025)</w:t>
            </w:r>
          </w:p>
        </w:tc>
      </w:tr>
    </w:tbl>
    <w:p>
      <w:pPr>
        <w:pStyle w:val="Heading1"/>
      </w:pPr>
      <w:r>
        <w:t>5. Pilotlauf-Ergebnis</w:t>
      </w:r>
    </w:p>
    <w:p>
      <w:r>
        <w:rPr>
          <w:b/>
        </w:rPr>
        <w:t xml:space="preserve">Pilotlauf mit vier Vertebraten-Species. </w:t>
      </w:r>
      <w:r>
        <w:t>Auf Basis des vorherigen Proteinexports wurden 12 rollenbasierte FGFR2-Proteinsequenzen verarbeitet. Das Script akzeptierte alle 12 Sequenzen, reduzierte sie auf 8 eindeutige Proteinsequenzen und kollabierte 4 redundante Einträge. Es wurden keine Warnungen erzeugt. Dieses Ergebnis ist plausibel, da Referenz- und Isoformrollen in einzelnen Species identische Proteinsequenzen teilen können.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Metrik</w:t>
            </w:r>
          </w:p>
        </w:tc>
        <w:tc>
          <w:tcPr>
            <w:tcW w:type="dxa" w:w="3360"/>
            <w:shd w:fill="D9EAF7"/>
          </w:tcPr>
          <w:p>
            <w:r/>
            <w:r>
              <w:rPr>
                <w:b/>
                <w:sz w:val="18"/>
              </w:rPr>
              <w:t>Wert</w:t>
            </w:r>
          </w:p>
        </w:tc>
        <w:tc>
          <w:tcPr>
            <w:tcW w:type="dxa" w:w="3360"/>
            <w:shd w:fill="D9EAF7"/>
          </w:tcPr>
          <w:p>
            <w:r/>
            <w:r>
              <w:rPr>
                <w:b/>
                <w:sz w:val="18"/>
              </w:rPr>
              <w:t>Interpretation</w:t>
            </w:r>
          </w:p>
        </w:tc>
      </w:tr>
      <w:tr>
        <w:tc>
          <w:tcPr>
            <w:tcW w:type="dxa" w:w="3360"/>
            <w:vAlign w:val="top"/>
          </w:tcPr>
          <w:p>
            <w:r/>
            <w:r>
              <w:rPr>
                <w:b w:val="0"/>
                <w:sz w:val="18"/>
              </w:rPr>
              <w:t>Input FASTA records</w:t>
            </w:r>
          </w:p>
        </w:tc>
        <w:tc>
          <w:tcPr>
            <w:tcW w:type="dxa" w:w="3360"/>
            <w:vAlign w:val="top"/>
          </w:tcPr>
          <w:p>
            <w:r/>
            <w:r>
              <w:rPr>
                <w:b w:val="0"/>
                <w:sz w:val="18"/>
              </w:rPr>
              <w:t>12</w:t>
            </w:r>
          </w:p>
        </w:tc>
        <w:tc>
          <w:tcPr>
            <w:tcW w:type="dxa" w:w="3360"/>
            <w:vAlign w:val="top"/>
          </w:tcPr>
          <w:p>
            <w:r/>
            <w:r>
              <w:rPr>
                <w:b w:val="0"/>
                <w:sz w:val="18"/>
              </w:rPr>
              <w:t>Vier Pilot-Species mit je reference, IIIb und IIIc.</w:t>
            </w:r>
          </w:p>
        </w:tc>
      </w:tr>
      <w:tr>
        <w:tc>
          <w:tcPr>
            <w:tcW w:type="dxa" w:w="3360"/>
            <w:vAlign w:val="top"/>
          </w:tcPr>
          <w:p>
            <w:r/>
            <w:r>
              <w:rPr>
                <w:b w:val="0"/>
                <w:sz w:val="18"/>
              </w:rPr>
              <w:t>Accepted records</w:t>
            </w:r>
          </w:p>
        </w:tc>
        <w:tc>
          <w:tcPr>
            <w:tcW w:type="dxa" w:w="3360"/>
            <w:vAlign w:val="top"/>
          </w:tcPr>
          <w:p>
            <w:r/>
            <w:r>
              <w:rPr>
                <w:b w:val="0"/>
                <w:sz w:val="18"/>
              </w:rPr>
              <w:t>12</w:t>
            </w:r>
          </w:p>
        </w:tc>
        <w:tc>
          <w:tcPr>
            <w:tcW w:type="dxa" w:w="3360"/>
            <w:vAlign w:val="top"/>
          </w:tcPr>
          <w:p>
            <w:r/>
            <w:r>
              <w:rPr>
                <w:b w:val="0"/>
                <w:sz w:val="18"/>
              </w:rPr>
              <w:t>Alle exportierten Proteinsequenzen waren für den nächsten Schritt verwendbar.</w:t>
            </w:r>
          </w:p>
        </w:tc>
      </w:tr>
      <w:tr>
        <w:tc>
          <w:tcPr>
            <w:tcW w:type="dxa" w:w="3360"/>
            <w:vAlign w:val="top"/>
          </w:tcPr>
          <w:p>
            <w:r/>
            <w:r>
              <w:rPr>
                <w:b w:val="0"/>
                <w:sz w:val="18"/>
              </w:rPr>
              <w:t>Unique protein sequences</w:t>
            </w:r>
          </w:p>
        </w:tc>
        <w:tc>
          <w:tcPr>
            <w:tcW w:type="dxa" w:w="3360"/>
            <w:vAlign w:val="top"/>
          </w:tcPr>
          <w:p>
            <w:r/>
            <w:r>
              <w:rPr>
                <w:b w:val="0"/>
                <w:sz w:val="18"/>
              </w:rPr>
              <w:t>8</w:t>
            </w:r>
          </w:p>
        </w:tc>
        <w:tc>
          <w:tcPr>
            <w:tcW w:type="dxa" w:w="3360"/>
            <w:vAlign w:val="top"/>
          </w:tcPr>
          <w:p>
            <w:r/>
            <w:r>
              <w:rPr>
                <w:b w:val="0"/>
                <w:sz w:val="18"/>
              </w:rPr>
              <w:t>Redundante identische Sequenzen wurden kontrolliert zusammengeführt.</w:t>
            </w:r>
          </w:p>
        </w:tc>
      </w:tr>
      <w:tr>
        <w:tc>
          <w:tcPr>
            <w:tcW w:type="dxa" w:w="3360"/>
            <w:vAlign w:val="top"/>
          </w:tcPr>
          <w:p>
            <w:r/>
            <w:r>
              <w:rPr>
                <w:b w:val="0"/>
                <w:sz w:val="18"/>
              </w:rPr>
              <w:t>Collapsed duplicates</w:t>
            </w:r>
          </w:p>
        </w:tc>
        <w:tc>
          <w:tcPr>
            <w:tcW w:type="dxa" w:w="3360"/>
            <w:vAlign w:val="top"/>
          </w:tcPr>
          <w:p>
            <w:r/>
            <w:r>
              <w:rPr>
                <w:b w:val="0"/>
                <w:sz w:val="18"/>
              </w:rPr>
              <w:t>4</w:t>
            </w:r>
          </w:p>
        </w:tc>
        <w:tc>
          <w:tcPr>
            <w:tcW w:type="dxa" w:w="3360"/>
            <w:vAlign w:val="top"/>
          </w:tcPr>
          <w:p>
            <w:r/>
            <w:r>
              <w:rPr>
                <w:b w:val="0"/>
                <w:sz w:val="18"/>
              </w:rPr>
              <w:t>Duplikate bleiben über Mapping-Dateien rückverfolgbar.</w:t>
            </w:r>
          </w:p>
        </w:tc>
      </w:tr>
      <w:tr>
        <w:tc>
          <w:tcPr>
            <w:tcW w:type="dxa" w:w="3360"/>
            <w:vAlign w:val="top"/>
          </w:tcPr>
          <w:p>
            <w:r/>
            <w:r>
              <w:rPr>
                <w:b w:val="0"/>
                <w:sz w:val="18"/>
              </w:rPr>
              <w:t>Warnings</w:t>
            </w:r>
          </w:p>
        </w:tc>
        <w:tc>
          <w:tcPr>
            <w:tcW w:type="dxa" w:w="3360"/>
            <w:vAlign w:val="top"/>
          </w:tcPr>
          <w:p>
            <w:r/>
            <w:r>
              <w:rPr>
                <w:b w:val="0"/>
                <w:sz w:val="18"/>
              </w:rPr>
              <w:t>0</w:t>
            </w:r>
          </w:p>
        </w:tc>
        <w:tc>
          <w:tcPr>
            <w:tcW w:type="dxa" w:w="3360"/>
            <w:vAlign w:val="top"/>
          </w:tcPr>
          <w:p>
            <w:r/>
            <w:r>
              <w:rPr>
                <w:b w:val="0"/>
                <w:sz w:val="18"/>
              </w:rPr>
              <w:t>Keine problematischen Sequenzzeichen oder Längenauffälligkeiten im Pilotlauf.</w:t>
            </w:r>
          </w:p>
        </w:tc>
      </w:tr>
    </w:tbl>
    <w:p>
      <w:pPr>
        <w:pStyle w:val="Heading1"/>
      </w:pPr>
      <w:r>
        <w:t>6. Qualitätssicherung und Tests</w:t>
      </w:r>
    </w:p>
    <w:p>
      <w:r>
        <w:rPr>
          <w:b/>
        </w:rPr>
        <w:t xml:space="preserve">Teststrategie. </w:t>
      </w:r>
      <w:r>
        <w:t>Für das Script wurden Unit-Tests erstellt, die gezielt FASTA-Parsing, Header-Metadaten, Duplikaterkennung, Strict Mode, Sequenzvalidierung, Split-FASTA-Erzeugung sowie Metadata- und Report-Erstellung prüfen. Dadurch wird nicht nur getestet, ob das Script ausführbar ist, sondern ob die zentralen Annahmen des Schritts in kontrollierten Fällen korrekt umgesetzt werden.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Testfall</w:t>
            </w:r>
          </w:p>
        </w:tc>
        <w:tc>
          <w:tcPr>
            <w:tcW w:type="dxa" w:w="5040"/>
            <w:shd w:fill="D9EAF7"/>
          </w:tcPr>
          <w:p>
            <w:r/>
            <w:r>
              <w:rPr>
                <w:b/>
                <w:sz w:val="18"/>
              </w:rPr>
              <w:t>Zweck</w:t>
            </w:r>
          </w:p>
        </w:tc>
      </w:tr>
      <w:tr>
        <w:tc>
          <w:tcPr>
            <w:tcW w:type="dxa" w:w="5040"/>
            <w:vAlign w:val="top"/>
          </w:tcPr>
          <w:p>
            <w:r/>
            <w:r>
              <w:rPr>
                <w:b w:val="0"/>
                <w:sz w:val="18"/>
              </w:rPr>
              <w:t>FASTA-Header-Parsing</w:t>
            </w:r>
          </w:p>
        </w:tc>
        <w:tc>
          <w:tcPr>
            <w:tcW w:type="dxa" w:w="5040"/>
            <w:vAlign w:val="top"/>
          </w:tcPr>
          <w:p>
            <w:r/>
            <w:r>
              <w:rPr>
                <w:b w:val="0"/>
                <w:sz w:val="18"/>
              </w:rPr>
              <w:t>Sicherstellen, dass IDs und Metadaten aus Proteinexport-Headern korrekt gelesen werden.</w:t>
            </w:r>
          </w:p>
        </w:tc>
      </w:tr>
      <w:tr>
        <w:tc>
          <w:tcPr>
            <w:tcW w:type="dxa" w:w="5040"/>
            <w:vAlign w:val="top"/>
          </w:tcPr>
          <w:p>
            <w:r/>
            <w:r>
              <w:rPr>
                <w:b w:val="0"/>
                <w:sz w:val="18"/>
              </w:rPr>
              <w:t>Duplikat-Kollaps</w:t>
            </w:r>
          </w:p>
        </w:tc>
        <w:tc>
          <w:tcPr>
            <w:tcW w:type="dxa" w:w="5040"/>
            <w:vAlign w:val="top"/>
          </w:tcPr>
          <w:p>
            <w:r/>
            <w:r>
              <w:rPr>
                <w:b w:val="0"/>
                <w:sz w:val="18"/>
              </w:rPr>
              <w:t>Prüfen, dass identische Proteinsequenzen zu einer Unique-ID zusammengeführt werden.</w:t>
            </w:r>
          </w:p>
        </w:tc>
      </w:tr>
      <w:tr>
        <w:tc>
          <w:tcPr>
            <w:tcW w:type="dxa" w:w="5040"/>
            <w:vAlign w:val="top"/>
          </w:tcPr>
          <w:p>
            <w:r/>
            <w:r>
              <w:rPr>
                <w:b w:val="0"/>
                <w:sz w:val="18"/>
              </w:rPr>
              <w:t>Invalid sequence strict mode</w:t>
            </w:r>
          </w:p>
        </w:tc>
        <w:tc>
          <w:tcPr>
            <w:tcW w:type="dxa" w:w="5040"/>
            <w:vAlign w:val="top"/>
          </w:tcPr>
          <w:p>
            <w:r/>
            <w:r>
              <w:rPr>
                <w:b w:val="0"/>
                <w:sz w:val="18"/>
              </w:rPr>
              <w:t>Sicherstellen, dass ungültige Proteinzeichen im strengen Modus zum Abbruch führen.</w:t>
            </w:r>
          </w:p>
        </w:tc>
      </w:tr>
      <w:tr>
        <w:tc>
          <w:tcPr>
            <w:tcW w:type="dxa" w:w="5040"/>
            <w:vAlign w:val="top"/>
          </w:tcPr>
          <w:p>
            <w:r/>
            <w:r>
              <w:rPr>
                <w:b w:val="0"/>
                <w:sz w:val="18"/>
              </w:rPr>
              <w:t>Ambiguous residues</w:t>
            </w:r>
          </w:p>
        </w:tc>
        <w:tc>
          <w:tcPr>
            <w:tcW w:type="dxa" w:w="5040"/>
            <w:vAlign w:val="top"/>
          </w:tcPr>
          <w:p>
            <w:r/>
            <w:r>
              <w:rPr>
                <w:b w:val="0"/>
                <w:sz w:val="18"/>
              </w:rPr>
              <w:t>Prüfen, dass ambige Aminosäurezeichen als Warnung dokumentiert werden.</w:t>
            </w:r>
          </w:p>
        </w:tc>
      </w:tr>
      <w:tr>
        <w:tc>
          <w:tcPr>
            <w:tcW w:type="dxa" w:w="5040"/>
            <w:vAlign w:val="top"/>
          </w:tcPr>
          <w:p>
            <w:r/>
            <w:r>
              <w:rPr>
                <w:b w:val="0"/>
                <w:sz w:val="18"/>
              </w:rPr>
              <w:t>Split FASTA</w:t>
            </w:r>
          </w:p>
        </w:tc>
        <w:tc>
          <w:tcPr>
            <w:tcW w:type="dxa" w:w="5040"/>
            <w:vAlign w:val="top"/>
          </w:tcPr>
          <w:p>
            <w:r/>
            <w:r>
              <w:rPr>
                <w:b w:val="0"/>
                <w:sz w:val="18"/>
              </w:rPr>
              <w:t>Kontrollieren, dass große Eingaben in InterProScan-Batches geteilt werden können.</w:t>
            </w:r>
          </w:p>
        </w:tc>
      </w:tr>
      <w:tr>
        <w:tc>
          <w:tcPr>
            <w:tcW w:type="dxa" w:w="5040"/>
            <w:vAlign w:val="top"/>
          </w:tcPr>
          <w:p>
            <w:r/>
            <w:r>
              <w:rPr>
                <w:b w:val="0"/>
                <w:sz w:val="18"/>
              </w:rPr>
              <w:t>Metadata/report creation</w:t>
            </w:r>
          </w:p>
        </w:tc>
        <w:tc>
          <w:tcPr>
            <w:tcW w:type="dxa" w:w="5040"/>
            <w:vAlign w:val="top"/>
          </w:tcPr>
          <w:p>
            <w:r/>
            <w:r>
              <w:rPr>
                <w:b w:val="0"/>
                <w:sz w:val="18"/>
              </w:rPr>
              <w:t>Sicherstellen, dass Reproduzierbarkeitsdateien erzeugt werden.</w:t>
            </w:r>
          </w:p>
        </w:tc>
      </w:tr>
    </w:tbl>
    <w:p>
      <w:pPr>
        <w:pStyle w:val="Heading1"/>
      </w:pPr>
      <w:r>
        <w:t>7. Methodentext für die Bachelorarbeit</w:t>
      </w:r>
    </w:p>
    <w:p>
      <w:r>
        <w:t>Vor der Domänenannotation mit InterProScan wurden die ausgewählten FGFR2-Proteinsequenzen in einem separaten Vorbereitungsschritt bereinigt und nicht-redundant zusammengeführt. Hierzu wurden rollenbasierte FASTA-Einträge aus dem Proteinexport eingelesen, auf gültige Proteinsequenzzeichen und plausible Längenbereiche geprüft und mit stabilen, kurzen Analyse-IDs versehen. Identische Aminosäuresequenzen wurden zu einer eindeutigen Sequenz zusammengeführt, da InterProScan seine Signaturen direkt gegen die eingereichte Aminosäuresequenz abgleicht und identische Sequenzen daher dieselben Domänenmatches liefern sollten. Um keinen biologischen Kontext zu verlieren, wurden alle ursprünglichen FASTA-Einträge in Mapping-Tabellen auf die entsprechenden Clean- und Unique-IDs zurückgeführt. Diese Tabellen enthalten Species, Datenquelle, Transkript-ID, Protein-ID und Auswahlrolle, sodass InterProScan-Ergebnisse nach der Analyse wieder eindeutig auf Referenz-, IIIb- und IIIc-Kandidaten abgebildet werden können. Zusätzlich wurden Warning-, Report- und Metadata-Dateien erzeugt, um Sequenzqualität, Parameter und Reproduzierbarkeit des Vorbereitungsschritts zu dokumentieren.</w:t>
      </w:r>
    </w:p>
    <w:p>
      <w:pPr>
        <w:pStyle w:val="Heading1"/>
      </w:pPr>
      <w:r>
        <w:t>8. Limitierungen</w:t>
      </w:r>
    </w:p>
    <w:p>
      <w:pPr>
        <w:pStyle w:val="ListBullet"/>
      </w:pPr>
      <w:r>
        <w:t>Die Nicht-Redundanz basiert auf vollständiger Sequenzidentität. Sehr ähnliche Sequenzen mit nur einer Aminosäure Unterschied werden bewusst nicht zusammengeführt, da sie potenziell unterschiedliche Domänenmatches erzeugen können.</w:t>
      </w:r>
    </w:p>
    <w:p>
      <w:pPr>
        <w:pStyle w:val="ListBullet"/>
      </w:pPr>
      <w:r>
        <w:t>Ambige Aminosäurezeichen werden dokumentiert, aber nicht automatisch entfernt. Solche Fälle müssen im Kontext der jeweiligen Annotation bewertet werden.</w:t>
      </w:r>
    </w:p>
    <w:p>
      <w:pPr>
        <w:pStyle w:val="ListBullet"/>
      </w:pPr>
      <w:r>
        <w:t>Der Schritt validiert technische FASTA-Qualität, ersetzt aber keine biologische Prüfung der zugrunde liegenden Transkript- und Proteinmodelle.</w:t>
      </w:r>
    </w:p>
    <w:p>
      <w:pPr>
        <w:pStyle w:val="ListBullet"/>
      </w:pPr>
      <w:r>
        <w:t>InterProScan selbst ist ein externer Schritt; dessen Version, Datenbankstand und Parameter müssen zusätzlich dokumentiert werden.</w:t>
      </w:r>
    </w:p>
    <w:p>
      <w:pPr>
        <w:pStyle w:val="Heading1"/>
      </w:pPr>
      <w:r>
        <w:t>9. Literatur</w:t>
      </w:r>
    </w:p>
    <w:p>
      <w:pPr>
        <w:pStyle w:val="ListNumber"/>
      </w:pPr>
      <w:r>
        <w:t>Blum, M. et al. (2025). InterPro: the protein sequence classification resource in 2025. Nucleic Acids Research, 53(D1), D444-D456.</w:t>
      </w:r>
    </w:p>
    <w:p>
      <w:pPr>
        <w:pStyle w:val="ListNumber"/>
      </w:pPr>
      <w:r>
        <w:t>Jones, P. et al. (2014). InterProScan 5: genome-scale protein function classification. Bioinformatics, 30(9), 1236-1240.</w:t>
      </w:r>
    </w:p>
    <w:p>
      <w:pPr>
        <w:pStyle w:val="ListNumber"/>
      </w:pPr>
      <w:r>
        <w:t>Quevillon, E. et al. (2005). InterProScan: protein domains identifier. Nucleic Acids Research, 33(Web Server issue), W116-W120.</w:t>
      </w:r>
    </w:p>
    <w:p>
      <w:pPr>
        <w:pStyle w:val="ListNumber"/>
      </w:pPr>
      <w:r>
        <w:t>Wilkinson, M. D. et al. (2016). The FAIR Guiding Principles for scientific data management and stewardship. Scientific Data, 3, 160018.</w:t>
      </w:r>
    </w:p>
    <w:p>
      <w:pPr>
        <w:pStyle w:val="ListNumber"/>
      </w:pPr>
      <w:r>
        <w:t>InterProScan documentation. Running InterProScan and input sequence behaviour. European Bioinformatics Institute, accessed 2026-06-02.</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FGFR2 exon-domain pipeline | prepare_interpro_clean_fasta_v2.py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