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Methodenbeschreibung für die Bachelorarbeit</w:t>
      </w:r>
    </w:p>
    <w:p>
      <w:pPr>
        <w:jc w:val="center"/>
      </w:pPr>
      <w:r>
        <w:rPr>
          <w:b/>
          <w:sz w:val="28"/>
        </w:rPr>
        <w:t>Script 3: select_fgfr2_transcripts_annotation_aware_v2.py</w:t>
      </w:r>
    </w:p>
    <w:p>
      <w:pPr>
        <w:jc w:val="center"/>
      </w:pPr>
      <w:r>
        <w:t>Annotation-aware Transcript Prioritisation and Isoform-aware Candidate Retention for FGFR2</w:t>
      </w:r>
    </w:p>
    <w:p>
      <w:r>
        <w:rPr>
          <w:b/>
        </w:rPr>
        <w:t xml:space="preserve">Projektkontext: </w:t>
      </w:r>
      <w:r>
        <w:t>Bachelorarbeit: "An Annotation-Aware Framework for Assessing the Consistency and Robustness of Exon--Domain Boundary Identification Across Vertebrate Orthologs: FGFR2 IIIb/IIIc as a Case Study"</w:t>
      </w:r>
    </w:p>
    <w:p>
      <w:pPr>
        <w:pStyle w:val="Heading1"/>
      </w:pPr>
      <w:r>
        <w:t>1. Ziel des Pipeline-Schritts</w:t>
      </w:r>
    </w:p>
    <w:p>
      <w:r>
        <w:t>Dieses Script priorisiert FGFR2-Transkripte annotation-aware und behält gleichzeitig biologisch relevante IIIb- und IIIc-Isoformkandidaten separat bei. Der Schritt reduziert FGFR2 bewusst nicht auf ein einziges kanonisches Transkript, weil die biologisch zentrale FGFR2-Region durch alternative, gegenseitig ausschließende Exon-Nutzung in der IgIII/D3-Region entsteht. Damit unterstützt der Schritt direkt die Hauptfragestellung der Arbeit: Wie robust sind Exon--Domain-Grenzen und die FGFR2-IIIb/IIIc-Region gegenüber Transcript Choice und Annotationunsicherheit?</w:t>
      </w:r>
    </w:p>
    <w:p>
      <w:r>
        <w:rPr>
          <w:b/>
        </w:rPr>
        <w:t xml:space="preserve">Kernidee: </w:t>
      </w:r>
      <w:r>
        <w:t>Eine Referenztranskript-Auswahl ist für vergleichende Analysen notwendig, darf bei FGFR2 aber nicht mit einer biologischen Reduktion auf nur eine Isoform verwechselt werden. Deshalb werden Referenz, IIIb-, IIIc- und alternative vollständige Transkripte getrennt dokumentiert.</w:t>
      </w:r>
    </w:p>
    <w:p>
      <w:pPr>
        <w:pStyle w:val="Heading1"/>
      </w:pPr>
      <w:r>
        <w:t>2. Einordnung im Gesamtworkflow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fill="D9EAF7"/>
            <w:vAlign w:val="top"/>
          </w:tcPr>
          <w:p>
            <w:r>
              <w:rPr>
                <w:rFonts w:ascii="Arial" w:hAnsi="Arial"/>
                <w:sz w:val="18"/>
              </w:rPr>
              <w:t>Workflow-Element</w:t>
            </w:r>
          </w:p>
        </w:tc>
        <w:tc>
          <w:tcPr>
            <w:tcW w:type="dxa" w:w="4873"/>
            <w:shd w:fill="D9EAF7"/>
            <w:vAlign w:val="top"/>
          </w:tcPr>
          <w:p>
            <w:r>
              <w:rPr>
                <w:rFonts w:ascii="Arial" w:hAnsi="Arial"/>
                <w:sz w:val="18"/>
              </w:rPr>
              <w:t>Bedeutung</w:t>
            </w:r>
          </w:p>
        </w:tc>
      </w:tr>
      <w:tr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Input aus Script 2</w:t>
            </w:r>
          </w:p>
        </w:tc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collect_fgfr2_models_dual_source_v3.py liefert genes.tsv, transcripts.tsv und exons.tsv.</w:t>
            </w:r>
          </w:p>
        </w:tc>
      </w:tr>
      <w:tr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Transcript Selection</w:t>
            </w:r>
          </w:p>
        </w:tc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Dieses Script bewertet alle verfügbaren FGFR2-Transkripte pro Species anhand Annotation, Struktur, Translation, Domain-Evidence und Isoform-Evidence.</w:t>
            </w:r>
          </w:p>
        </w:tc>
      </w:tr>
      <w:tr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Isoform-aware Retention</w:t>
            </w:r>
          </w:p>
        </w:tc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IIIb/IIIc-Kandidaten werden nicht mit dem Referenztranskript gleichgesetzt, sondern separat ausgegeben.</w:t>
            </w:r>
          </w:p>
        </w:tc>
      </w:tr>
      <w:tr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Nachfolgende Schritte</w:t>
            </w:r>
          </w:p>
        </w:tc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Die Auswahl wird später durch exon-strukturelle IIIb/IIIc-Klassifikation ergänzt und erneut mit --isoform_evidence ausgeführt.</w:t>
            </w:r>
          </w:p>
        </w:tc>
      </w:tr>
    </w:tbl>
    <w:p>
      <w:pPr>
        <w:pStyle w:val="Heading1"/>
      </w:pPr>
      <w:r>
        <w:t>3. Input- und Output-Dateien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fill="D9EAF7"/>
            <w:vAlign w:val="top"/>
          </w:tcPr>
          <w:p>
            <w:r>
              <w:rPr>
                <w:rFonts w:ascii="Arial" w:hAnsi="Arial"/>
                <w:sz w:val="18"/>
              </w:rPr>
              <w:t>Input</w:t>
            </w:r>
          </w:p>
        </w:tc>
        <w:tc>
          <w:tcPr>
            <w:tcW w:type="dxa" w:w="4873"/>
            <w:shd w:fill="D9EAF7"/>
            <w:vAlign w:val="top"/>
          </w:tcPr>
          <w:p>
            <w:r>
              <w:rPr>
                <w:rFonts w:ascii="Arial" w:hAnsi="Arial"/>
                <w:sz w:val="18"/>
              </w:rPr>
              <w:t>Beschreibung</w:t>
            </w:r>
          </w:p>
        </w:tc>
      </w:tr>
      <w:tr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--transcripts</w:t>
            </w:r>
          </w:p>
        </w:tc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Pflichtinput. Normalisierte Transkripttabelle aus Script 2.</w:t>
            </w:r>
          </w:p>
        </w:tc>
      </w:tr>
      <w:tr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--exons</w:t>
            </w:r>
          </w:p>
        </w:tc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Pflichtinput. Exon-/CDS-nahe Strukturinformation zur Bewertung struktureller Vollständigkeit.</w:t>
            </w:r>
          </w:p>
        </w:tc>
      </w:tr>
      <w:tr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--annotations</w:t>
            </w:r>
          </w:p>
        </w:tc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Optional. Zusätzliche Annotationen wie MANE Select, RefSeq Select, APPRIS, CCDS oder UniProt canonical.</w:t>
            </w:r>
          </w:p>
        </w:tc>
      </w:tr>
      <w:tr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--domains</w:t>
            </w:r>
          </w:p>
        </w:tc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Optional. Protein-Domain-Evidence, z. B. aus InterProScan oder vorbereiteten Domain-Tabellen.</w:t>
            </w:r>
          </w:p>
        </w:tc>
      </w:tr>
      <w:tr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--isoform_evidence</w:t>
            </w:r>
          </w:p>
        </w:tc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Optional. Explizite IIIb/IIIc-Evidence aus einem späteren exon-strukturellen Klassifikationsschritt.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fill="D9EAF7"/>
            <w:vAlign w:val="top"/>
          </w:tcPr>
          <w:p>
            <w:r>
              <w:rPr>
                <w:rFonts w:ascii="Arial" w:hAnsi="Arial"/>
                <w:sz w:val="18"/>
              </w:rPr>
              <w:t>Output</w:t>
            </w:r>
          </w:p>
        </w:tc>
        <w:tc>
          <w:tcPr>
            <w:tcW w:type="dxa" w:w="4873"/>
            <w:shd w:fill="D9EAF7"/>
            <w:vAlign w:val="top"/>
          </w:tcPr>
          <w:p>
            <w:r>
              <w:rPr>
                <w:rFonts w:ascii="Arial" w:hAnsi="Arial"/>
                <w:sz w:val="18"/>
              </w:rPr>
              <w:t>Beschreibung</w:t>
            </w:r>
          </w:p>
        </w:tc>
      </w:tr>
      <w:tr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selected_transcripts.tsv</w:t>
            </w:r>
          </w:p>
        </w:tc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Final ausgewählte Transkriptrollen pro Species, einschließlich reference, IIIb/IIIc candidate/provisional und alternative_complete.</w:t>
            </w:r>
          </w:p>
        </w:tc>
      </w:tr>
      <w:tr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transcript_selection_audit.tsv</w:t>
            </w:r>
          </w:p>
        </w:tc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Vollständiger Audit-Trail mit Scores, Teil-Scores, Annotationflags, Strukturflags und Entscheidungsgründen für jedes Transkript.</w:t>
            </w:r>
          </w:p>
        </w:tc>
      </w:tr>
      <w:tr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isoform_classification.tsv</w:t>
            </w:r>
          </w:p>
        </w:tc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Isoformbezogene Klassifikation je Transkript, einschließlich Evidence-Level und Evidence-Source.</w:t>
            </w:r>
          </w:p>
        </w:tc>
      </w:tr>
      <w:tr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transcript_selection_summary.tsv</w:t>
            </w:r>
          </w:p>
        </w:tc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Zusammenfassung pro Species: verfügbare Transkripte, ausgewählte Rollen, IIIb/IIIc-Status, Warnungen.</w:t>
            </w:r>
          </w:p>
        </w:tc>
      </w:tr>
      <w:tr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transcript_selection_warnings.tsv</w:t>
            </w:r>
          </w:p>
        </w:tc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Explizite Warnungen zu fehlenden Spalten, Duplikaten, fehlender Translation, fehlenden Exons oder nur mittelstarker Isoform-Evidence.</w:t>
            </w:r>
          </w:p>
        </w:tc>
      </w:tr>
      <w:tr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run_metadata.json</w:t>
            </w:r>
          </w:p>
        </w:tc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Reproduzierbarkeitsmetadaten: Scriptname, Version, Parameter, Inputdateien, Zeilenzahlen, Laufzeitpunkt.</w:t>
            </w:r>
          </w:p>
        </w:tc>
      </w:tr>
      <w:tr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transcript_selection_report.md/html</w:t>
            </w:r>
          </w:p>
        </w:tc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Maschinen- und menschenlesbarer Summary Report für Ergebnisprüfung und Methodendokumentation.</w:t>
            </w:r>
          </w:p>
        </w:tc>
      </w:tr>
      <w:tr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plots/top_scores_&lt;species&gt;.png</w:t>
            </w:r>
          </w:p>
        </w:tc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Per-Species-Plot der Top-Score-Transkripte zur schnellen visuellen Qualitätskontrolle.</w:t>
            </w:r>
          </w:p>
        </w:tc>
      </w:tr>
    </w:tbl>
    <w:p>
      <w:pPr>
        <w:pStyle w:val="Heading1"/>
      </w:pPr>
      <w:r>
        <w:t>4. Algorithmische Vorgehensweise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fill="D9EAF7"/>
            <w:vAlign w:val="top"/>
          </w:tcPr>
          <w:p>
            <w:r>
              <w:rPr>
                <w:rFonts w:ascii="Arial" w:hAnsi="Arial"/>
                <w:sz w:val="18"/>
              </w:rPr>
              <w:t>Schritt</w:t>
            </w:r>
          </w:p>
        </w:tc>
        <w:tc>
          <w:tcPr>
            <w:tcW w:type="dxa" w:w="4873"/>
            <w:shd w:fill="D9EAF7"/>
            <w:vAlign w:val="top"/>
          </w:tcPr>
          <w:p>
            <w:r>
              <w:rPr>
                <w:rFonts w:ascii="Arial" w:hAnsi="Arial"/>
                <w:sz w:val="18"/>
              </w:rPr>
              <w:t>Beschreibung</w:t>
            </w:r>
          </w:p>
        </w:tc>
      </w:tr>
      <w:tr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Schema-Validierung</w:t>
            </w:r>
          </w:p>
        </w:tc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Pflicht- und empfohlene Spalten werden geprüft. Kritische Fehler können im --strict-Modus zum Abbruch führen.</w:t>
            </w:r>
          </w:p>
        </w:tc>
      </w:tr>
      <w:tr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Indexierung</w:t>
            </w:r>
          </w:p>
        </w:tc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Annotationen, Domains, Exons und Isoform-Evidence werden über interne und externe Transkript-IDs indexiert.</w:t>
            </w:r>
          </w:p>
        </w:tc>
      </w:tr>
      <w:tr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Flexible Exon-ID-Verknüpfung</w:t>
            </w:r>
          </w:p>
        </w:tc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Exons können über transcript_id_internal, internal_transcript_id, parent_transcript_id, transcript_id oder transcript_id_source zugeordnet werden.</w:t>
            </w:r>
          </w:p>
        </w:tc>
      </w:tr>
      <w:tr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Duplicate Detection</w:t>
            </w:r>
          </w:p>
        </w:tc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Doppelte interne und externe Transkript-IDs werden erkannt und in transcript_selection_warnings.tsv dokumentiert.</w:t>
            </w:r>
          </w:p>
        </w:tc>
      </w:tr>
      <w:tr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Evidenz-Normalisierung</w:t>
            </w:r>
          </w:p>
        </w:tc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Biotypes, MANE/RefSeq Select, Ensembl canonical, APPRIS und Proteinlängenklassen werden standardisiert.</w:t>
            </w:r>
          </w:p>
        </w:tc>
      </w:tr>
      <w:tr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Scoring</w:t>
            </w:r>
          </w:p>
        </w:tc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Jedes Transkript erhält einen Gesamt-Score und Teil-Scores für Annotation, Struktur, Protein, Domain, Support und Penalties.</w:t>
            </w:r>
          </w:p>
        </w:tc>
      </w:tr>
      <w:tr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Rollenvergabe</w:t>
            </w:r>
          </w:p>
        </w:tc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Pro Species werden Referenz, high-confidence IIIb/IIIc-Kandidaten, provisional IIIb/IIIc-Kandidaten und alternative vollständige Transkripte ausgewählt.</w:t>
            </w:r>
          </w:p>
        </w:tc>
      </w:tr>
      <w:tr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Audit und Reports</w:t>
            </w:r>
          </w:p>
        </w:tc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Alle Entscheidungen werden in TSV, JSON, Markdown/HTML und optionalen Plots dokumentiert.</w:t>
            </w:r>
          </w:p>
        </w:tc>
      </w:tr>
    </w:tbl>
    <w:p>
      <w:pPr>
        <w:pStyle w:val="Heading1"/>
      </w:pPr>
      <w:r>
        <w:t>5. Begründung jeder wichtigen Designentscheidung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fill="D9EAF7"/>
            <w:vAlign w:val="top"/>
          </w:tcPr>
          <w:p>
            <w:r>
              <w:rPr>
                <w:rFonts w:ascii="Arial" w:hAnsi="Arial"/>
                <w:sz w:val="18"/>
              </w:rPr>
              <w:t>Entscheidung</w:t>
            </w:r>
          </w:p>
        </w:tc>
        <w:tc>
          <w:tcPr>
            <w:tcW w:type="dxa" w:w="3249"/>
            <w:shd w:fill="D9EAF7"/>
            <w:vAlign w:val="top"/>
          </w:tcPr>
          <w:p>
            <w:r>
              <w:rPr>
                <w:rFonts w:ascii="Arial" w:hAnsi="Arial"/>
                <w:sz w:val="18"/>
              </w:rPr>
              <w:t>Begründung</w:t>
            </w:r>
          </w:p>
        </w:tc>
        <w:tc>
          <w:tcPr>
            <w:tcW w:type="dxa" w:w="3249"/>
            <w:shd w:fill="D9EAF7"/>
            <w:vAlign w:val="top"/>
          </w:tcPr>
          <w:p>
            <w:r>
              <w:rPr>
                <w:rFonts w:ascii="Arial" w:hAnsi="Arial"/>
                <w:sz w:val="18"/>
              </w:rPr>
              <w:t>Literatur/Quelle</w:t>
            </w:r>
          </w:p>
        </w:tc>
      </w:tr>
      <w:tr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Nicht auf ein einzelnes Transkript reduzieren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FGFR2 IIIb und IIIc entstehen durch alternative, gegenseitig ausschließende Exons in der IgIII-Region. Eine Ein-Transkript-Strategie würde die zentrale biologische Fragestellung teilweise verdecken.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Holzmann et al. 2011; Jones et al. 2001</w:t>
            </w:r>
          </w:p>
        </w:tc>
      </w:tr>
      <w:tr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MANE Select hoch priorisieren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MANE integriert übereinstimmende NCBI-RefSeq- und Ensembl-Annotationen und wurde entwickelt, um gut unterstützte Standardtranskripte pro protein-kodierendem Locus bereitzustellen. Für Human ist dies besonders stark.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Morales et al. 2022; NCBI MANE 2026</w:t>
            </w:r>
          </w:p>
        </w:tc>
      </w:tr>
      <w:tr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RefSeq Select berücksichtigen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RefSeq Select stellt repräsentative Transkripte für protein-kodierende Gene bereit und nutzt Kriterien wie Expression, CDS-Konservierung, Länge und Swiss-Prot-Konkordanz.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NCBI RefSeq Select 2024; Goldfarb et al. 2025</w:t>
            </w:r>
          </w:p>
        </w:tc>
      </w:tr>
      <w:tr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Ensembl canonical und APPRIS berücksichtigen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APPRIS wählt Principal Isoforms anhand proteinstruktureller, funktioneller und evolutionärer Informationen. Ensembl canonical ist zusätzlich eine wichtige praktische Referenzannotation.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Rodriguez et al. 2013; Rodriguez et al. 2022</w:t>
            </w:r>
          </w:p>
        </w:tc>
      </w:tr>
      <w:tr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APPRIS-Erkennung streng halten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Nur principal-Kategorien werden als APPRIS Principal gewertet. Alternative APPRIS-Kategorien dürfen nicht denselben Bonus erhalten, da sie keine Hauptisoform bezeichnen.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Rodriguez et al. 2013; UCSC APPRIS Track Documentation</w:t>
            </w:r>
          </w:p>
        </w:tc>
      </w:tr>
      <w:tr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RefSeq Select nicht über generisches select erkennen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Ein generisches Feld select kann in verschiedenen Tabellen andere Bedeutungen haben. Deshalb werden nur spezifische RefSeq-Select-Felder akzeptiert.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NCBI RefSeq Select 2024</w:t>
            </w:r>
          </w:p>
        </w:tc>
      </w:tr>
      <w:tr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Biotype normalisieren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Datenquellen benutzen unterschiedliche Schreibweisen für coding, mRNA, protein_coding, Pseudogen- oder NMD-Kategorien. Normalisierung reduziert künstliche Unterschiede zwischen Quellen.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RefSeq/NCBI documentation; Ensembl annotation practice</w:t>
            </w:r>
          </w:p>
        </w:tc>
      </w:tr>
      <w:tr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Teil-Scores statt nur Gesamtscore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Teil-Scores machen sichtbar, ob ein Transkript wegen Referenzannotation, struktureller Vollständigkeit, Proteinlänge, Domain-Evidence oder fehlender Penalties gewählt wurde.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FAIR Principles; Wilkinson et al. 2016</w:t>
            </w:r>
          </w:p>
        </w:tc>
      </w:tr>
      <w:tr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Medium Isoform-Hinweise nur provisional verwenden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Namensbasierte Hinweise wie KGFR oder IIIb sind nützlich, aber schwächer als explizite exon-strukturelle Evidence. Deshalb werden sie nicht automatisch als high confidence gewertet.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Holzmann et al. 2011; Jones et al. 2001</w:t>
            </w:r>
          </w:p>
        </w:tc>
      </w:tr>
      <w:tr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Flexible Exon-ID-Verknüpfung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Annotationstabellen aus verschiedenen Quellen oder Pipeline-Versionen können unterschiedliche Spaltennamen für dieselbe Beziehung enthalten. Flexible Verknüpfung erhöht Robustheit, ohne die Auditierbarkeit zu verlieren.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FAIR Principles; Wilkinson et al. 2016</w:t>
            </w:r>
          </w:p>
        </w:tc>
      </w:tr>
      <w:tr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Duplikate explizit warnen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Doppelte IDs können spätere Zuordnungen verfälschen. Eine Warnungsdatei macht solche Fälle sichtbar, statt sie stillschweigend zu ignorieren.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Reproducible research principles; FAIR Principles</w:t>
            </w:r>
          </w:p>
        </w:tc>
      </w:tr>
      <w:tr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Rollenüberlappung markieren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Dasselbe Transkript kann Referenz und Isoform-Kandidat sein. Dies muss explizit markiert werden, damit spätere Analysen keine künstlich unabhängigen Transkripte annehmen.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Annotation-aware transcript analysis rationale</w:t>
            </w:r>
          </w:p>
        </w:tc>
      </w:tr>
      <w:tr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Markdown/HTML Report erzeugen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Zusätzlich zu maschinenlesbaren TSV-Dateien erleichtern menschenlesbare Reports die Ergebnisprüfung und Dokumentation. Markdown bietet eine standardisierte Klartextstruktur.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CommonMark 2021</w:t>
            </w:r>
          </w:p>
        </w:tc>
      </w:tr>
      <w:tr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Top-Score-Plots pro Species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Plots dienen als visuelle Qualitätskontrolle, ob die ausgewählten Transkripte plausibel gegenüber alternativen Kandidaten abschneiden.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Matplotlib documentation</w:t>
            </w:r>
          </w:p>
        </w:tc>
      </w:tr>
      <w:tr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pytest-Tests verwenden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Automatisierte Tests mit temporären Verzeichnissen erlauben reproduzierbare Prüfung von I/O-Operationen, Edge Cases und Report-Erzeugung, ohne echte Projektdaten zu überschreiben.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pytest documentation</w:t>
            </w:r>
          </w:p>
        </w:tc>
      </w:tr>
    </w:tbl>
    <w:p>
      <w:pPr>
        <w:pStyle w:val="Heading1"/>
      </w:pPr>
      <w:r>
        <w:t>6. Scoring-Logik und interpretierbare Teil-Scores</w:t>
      </w:r>
    </w:p>
    <w:p>
      <w:r>
        <w:t>Das Script verwendet kein verstecktes Black-Box-Modell, sondern ein regelbasiertes, dokumentierbares Scoring. Der Gesamtscore ist eine Summe mehrerer interpretierbarer Teil-Scores. Dadurch kann später nachvollzogen werden, warum ein bestimmtes Transkript priorisiert wurde.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fill="D9EAF7"/>
            <w:vAlign w:val="top"/>
          </w:tcPr>
          <w:p>
            <w:r>
              <w:rPr>
                <w:rFonts w:ascii="Arial" w:hAnsi="Arial"/>
                <w:sz w:val="18"/>
              </w:rPr>
              <w:t>Score-Komponente</w:t>
            </w:r>
          </w:p>
        </w:tc>
        <w:tc>
          <w:tcPr>
            <w:tcW w:type="dxa" w:w="3249"/>
            <w:shd w:fill="D9EAF7"/>
            <w:vAlign w:val="top"/>
          </w:tcPr>
          <w:p>
            <w:r>
              <w:rPr>
                <w:rFonts w:ascii="Arial" w:hAnsi="Arial"/>
                <w:sz w:val="18"/>
              </w:rPr>
              <w:t>Beispiele</w:t>
            </w:r>
          </w:p>
        </w:tc>
        <w:tc>
          <w:tcPr>
            <w:tcW w:type="dxa" w:w="3249"/>
            <w:shd w:fill="D9EAF7"/>
            <w:vAlign w:val="top"/>
          </w:tcPr>
          <w:p>
            <w:r>
              <w:rPr>
                <w:rFonts w:ascii="Arial" w:hAnsi="Arial"/>
                <w:sz w:val="18"/>
              </w:rPr>
              <w:t>Interpretation</w:t>
            </w:r>
          </w:p>
        </w:tc>
      </w:tr>
      <w:tr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annotation_score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MANE Select, RefSeq Select, Ensembl canonical, APPRIS Principal, CCDS, UniProt canonical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Referenz- und Kurationsstatus</w:t>
            </w:r>
          </w:p>
        </w:tc>
      </w:tr>
      <w:tr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structure_score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Exonanzahl, Exonverfügbarkeit, exon_signature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Strukturelle Vollständigkeit</w:t>
            </w:r>
          </w:p>
        </w:tc>
      </w:tr>
      <w:tr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protein_score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Translation vorhanden, Proteinlänge plausibel/borderline/implausibel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Nutzbarkeit für Protein- und Domain-Mapping</w:t>
            </w:r>
          </w:p>
        </w:tc>
      </w:tr>
      <w:tr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domain_score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Ig-like-Domain-Evidence und allgemeine Domain-Evidence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Hinweis auf relevante FGFR2-Proteindomänen</w:t>
            </w:r>
          </w:p>
        </w:tc>
      </w:tr>
      <w:tr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support_score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Transcript Support Level oder vergleichbare Support-Indikatoren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Annotationsunterstützung</w:t>
            </w:r>
          </w:p>
        </w:tc>
      </w:tr>
      <w:tr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penalty_score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keine Translation, keine Exons, Retained-Intron/NMD, implausible Proteinlänge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Arial" w:hAnsi="Arial"/>
                <w:sz w:val="18"/>
              </w:rPr>
              <w:t>Abwertung potenziell ungeeigneter Modelle</w:t>
            </w:r>
          </w:p>
        </w:tc>
      </w:tr>
    </w:tbl>
    <w:p>
      <w:pPr>
        <w:pStyle w:val="Heading1"/>
      </w:pPr>
      <w:r>
        <w:t>7. IIIb/IIIc-Klassifikation: high confidence vs. provisional</w:t>
      </w:r>
    </w:p>
    <w:p>
      <w:r>
        <w:t>Ein zentraler methodischer Punkt ist die Trennung zwischen expliziter Isoform-Evidence und schwächeren Namenshinweisen. Wenn eine separate isoform_evidence-Tabelle vorhanden ist, kann ein Transkript als high-confidence IIIb- oder IIIc-Kandidat ausgewählt werden. Wenn nur Namen oder Synonyme auf IIIb/IIIc hindeuten, wird das Transkript lediglich als provisional markiert. Diese konservative Strategie verhindert, dass unsichere Namensannotation als harte biologische Evidenz interpretiert wird.</w:t>
      </w:r>
    </w:p>
    <w:p>
      <w:pPr>
        <w:pStyle w:val="Heading1"/>
      </w:pPr>
      <w:r>
        <w:t>8. Qualitätssicherung und Tests</w:t>
      </w:r>
    </w:p>
    <w:p>
      <w:r>
        <w:t>Für die verbesserte Version wurde eine pytest-Testdatei erstellt. Die Tests prüfen gezielt die neuen methodischen und technischen Anforderungen.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fill="D9EAF7"/>
            <w:vAlign w:val="top"/>
          </w:tcPr>
          <w:p>
            <w:r>
              <w:rPr>
                <w:rFonts w:ascii="Arial" w:hAnsi="Arial"/>
                <w:sz w:val="18"/>
              </w:rPr>
              <w:t>Testbereich</w:t>
            </w:r>
          </w:p>
        </w:tc>
        <w:tc>
          <w:tcPr>
            <w:tcW w:type="dxa" w:w="4873"/>
            <w:shd w:fill="D9EAF7"/>
            <w:vAlign w:val="top"/>
          </w:tcPr>
          <w:p>
            <w:r>
              <w:rPr>
                <w:rFonts w:ascii="Arial" w:hAnsi="Arial"/>
                <w:sz w:val="18"/>
              </w:rPr>
              <w:t>Geprüfte Eigenschaft</w:t>
            </w:r>
          </w:p>
        </w:tc>
      </w:tr>
      <w:tr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Schema-Validierung</w:t>
            </w:r>
          </w:p>
        </w:tc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Fehlende Pflichtspalten werden erkannt; --strict kann kontrolliert abbrechen.</w:t>
            </w:r>
          </w:p>
        </w:tc>
      </w:tr>
      <w:tr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Biotype- und Annotationnormalisierung</w:t>
            </w:r>
          </w:p>
        </w:tc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APPRIS alternative wird nicht als principal gewertet; Biotypes werden vereinheitlicht.</w:t>
            </w:r>
          </w:p>
        </w:tc>
      </w:tr>
      <w:tr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Isoform-Evidence</w:t>
            </w:r>
          </w:p>
        </w:tc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High-confidence Evidence erzeugt candidate-Rollen; Namenshinweise erzeugen nur provisional-Rollen.</w:t>
            </w:r>
          </w:p>
        </w:tc>
      </w:tr>
      <w:tr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Flexible Exon-Verknüpfung</w:t>
            </w:r>
          </w:p>
        </w:tc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Exons werden über mehrere zulässige ID-Spalten korrekt zugeordnet.</w:t>
            </w:r>
          </w:p>
        </w:tc>
      </w:tr>
      <w:tr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Duplicate Detection</w:t>
            </w:r>
          </w:p>
        </w:tc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Doppelte interne oder externe Transkript-IDs werden in warnings.tsv protokolliert.</w:t>
            </w:r>
          </w:p>
        </w:tc>
      </w:tr>
      <w:tr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Rollenüberlappung</w:t>
            </w:r>
          </w:p>
        </w:tc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Wenn ein Transkript mehrere Rollen erfüllt, werden overlapping_roles und all_roles_for_transcript gesetzt.</w:t>
            </w:r>
          </w:p>
        </w:tc>
      </w:tr>
      <w:tr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Reports und Plots</w:t>
            </w:r>
          </w:p>
        </w:tc>
        <w:tc>
          <w:tcPr>
            <w:tcW w:type="dxa" w:w="4873"/>
            <w:vAlign w:val="top"/>
          </w:tcPr>
          <w:p>
            <w:r>
              <w:rPr>
                <w:rFonts w:ascii="Arial" w:hAnsi="Arial"/>
                <w:sz w:val="18"/>
              </w:rPr>
              <w:t>Markdown/HTML-Reports und Top-Score-Plots werden erzeugt und existieren als Outputdateien.</w:t>
            </w:r>
          </w:p>
        </w:tc>
      </w:tr>
    </w:tbl>
    <w:p>
      <w:pPr>
        <w:pStyle w:val="Heading1"/>
      </w:pPr>
      <w:r>
        <w:t>9. Direkt verwendbarer Methodentext</w:t>
      </w:r>
    </w:p>
    <w:p>
      <w:r>
        <w:t>Zur annotation-aware Auswahl geeigneter FGFR2-Transkripte wurde ein regelbasierter Priorisierungsschritt implementiert. Ziel war es, für jede untersuchte Vertebratenart ein strukturell und annotationell gut unterstütztes Referenztranskript zu bestimmen, ohne die biologisch relevanten FGFR2-IIIb/IIIc-Isoformen zu verwerfen. Dies ist für FGFR2 besonders wichtig, da die IIIb- und IIIc-Isoformen durch alternative, gegenseitig ausschließende Exon-Nutzung in der IgIII-Region entstehen und unterschiedliche funktionelle Eigenschaften besitzen.</w:t>
      </w:r>
    </w:p>
    <w:p>
      <w:r>
        <w:t>Als Input dienten die aus der vorherigen Modellkollektion erzeugten Transkript- und Exontabellen sowie optional zusätzliche Annotationen, Domaininformationen und Isoform-Evidence. Vor der Bewertung wurden Pflichtspalten validiert, Transkript-IDs normalisiert und Exoninformationen flexibel über mehrere mögliche ID-Spalten verknüpft. Doppelte Transkript-IDs und fehlende Strukturinformationen wurden nicht stillschweigend ignoriert, sondern in einer separaten Warnungsdatei dokumentiert.</w:t>
      </w:r>
    </w:p>
    <w:p>
      <w:r>
        <w:t>Für jedes Transkript wurde ein transparenter Score berechnet, der aus mehreren Teil-Scores bestand. Berücksichtigt wurden unter anderem MANE Select, RefSeq Select, Ensembl canonical, APPRIS Principal, protein-kodierender Biotype, Translation, Proteinlänge, Exonverfügbarkeit, Domain-Evidence und Support-Level. Gleichzeitig wurden problematische Merkmale wie fehlende Translation, fehlende Exoninformation, retained-intron/NMD-Hinweise oder implausible Proteinlängen mit Penalties versehen. Die Aufteilung in Teil-Scores erlaubt eine spätere Interpretation, ob ein Transkript primär aufgrund kuratierter Referenzannotation, struktureller Vollständigkeit oder proteinbezogener Plausibilität ausgewählt wurde.</w:t>
      </w:r>
    </w:p>
    <w:p>
      <w:r>
        <w:t>Die IIIb/IIIc-Auswahl wurde konservativ durchgeführt. Explizite exon-strukturelle Isoform-Evidence führte zu high-confidence IIIb- oder IIIc-Kandidaten. Reine Namenshinweise, beispielsweise KGFR oder IIIb/IIIc im Transkriptnamen, wurden nur als provisional Evidence behandelt. Dadurch wurde vermieden, unsichere Namensannotation mit struktureller Isoform-Evidenz gleichzusetzen.</w:t>
      </w:r>
    </w:p>
    <w:p>
      <w:r>
        <w:t>Alle Auswahlentscheidungen wurden in einem vollständigen Audit-Trail, einer Summary-Datei, einer Warnungstabelle, einer Metadatendatei sowie einem Markdown-/HTML-Report dokumentiert. Zusätzlich wurden pro Species Top-Score-Plots erzeugt, um die Priorisierung visuell überprüfen zu können. Dieser Schritt stellt damit eine reproduzierbare und transparente Grundlage für die nachfolgende Exon--Domain-Grenzenanalyse dar.</w:t>
      </w:r>
    </w:p>
    <w:p>
      <w:pPr>
        <w:pStyle w:val="Heading1"/>
      </w:pPr>
      <w:r>
        <w:t>10. Limitierungen</w:t>
      </w:r>
    </w:p>
    <w:p>
      <w:pPr/>
      <w:r>
        <w:rPr>
          <w:b/>
        </w:rPr>
        <w:t xml:space="preserve">• </w:t>
      </w:r>
      <w:r>
        <w:t>MANE Select ist besonders stark für Human und klinisch relevante Standardannotation, aber nicht für alle Vertebraten in gleicher Weise verfügbar. Für andere Species greift deshalb ein regelbasierter Fallback.</w:t>
      </w:r>
    </w:p>
    <w:p>
      <w:pPr/>
      <w:r>
        <w:rPr>
          <w:b/>
        </w:rPr>
        <w:t xml:space="preserve">• </w:t>
      </w:r>
      <w:r>
        <w:t>APPRIS- und RefSeq-Select-Informationen können zwischen Species und Datenbankversionen unterschiedlich vollständig sein.</w:t>
      </w:r>
    </w:p>
    <w:p>
      <w:pPr/>
      <w:r>
        <w:rPr>
          <w:b/>
        </w:rPr>
        <w:t xml:space="preserve">• </w:t>
      </w:r>
      <w:r>
        <w:t>Proteinlängen- und Domain-Evidence sind Hilfskriterien, ersetzen aber keine manuelle biologische Prüfung bei schwierigen oder partiellen Annotationen.</w:t>
      </w:r>
    </w:p>
    <w:p>
      <w:pPr/>
      <w:r>
        <w:rPr>
          <w:b/>
        </w:rPr>
        <w:t xml:space="preserve">• </w:t>
      </w:r>
      <w:r>
        <w:t>Namensbasierte IIIb/IIIc-Hinweise werden nur provisional interpretiert und sollten durch exon-strukturelle Evidence bestätigt werden.</w:t>
      </w:r>
    </w:p>
    <w:p>
      <w:pPr/>
      <w:r>
        <w:rPr>
          <w:b/>
        </w:rPr>
        <w:t xml:space="preserve">• </w:t>
      </w:r>
      <w:r>
        <w:t>Ein hoher Score bedeutet nicht absolute biologische Wahrheit, sondern eine transparente, datenbank- und regelbasierte Priorisierung.</w:t>
      </w:r>
    </w:p>
    <w:p>
      <w:pPr>
        <w:pStyle w:val="Heading1"/>
      </w:pPr>
      <w:r>
        <w:t>11. Literatur und Quellen</w:t>
      </w:r>
    </w:p>
    <w:p>
      <w:r>
        <w:t xml:space="preserve">Morales, J. et al. (2022). A joint NCBI and EMBL-EBI transcript set for clinical genomics and research. Nature. Begründet die Verwendung von MANE Select als abgestimmter RefSeq/Ensembl-Transkriptstandard. </w:t>
      </w:r>
      <w:hyperlink r:id="rId9">
        <w:r>
          <w:rPr>
            <w:color w:val="0563C1"/>
            <w:u w:val="single"/>
          </w:rPr>
          <w:t>https://www.nature.com/articles/s41586-022-04558-8</w:t>
        </w:r>
      </w:hyperlink>
    </w:p>
    <w:p>
      <w:r>
        <w:t xml:space="preserve">NCBI MANE (2026). Matched Annotation from NCBI and EMBL-EBI. Dokumentation zu Stabilität und Aktualisierung von MANE Select Transkripten. </w:t>
      </w:r>
      <w:hyperlink r:id="rId10">
        <w:r>
          <w:rPr>
            <w:color w:val="0563C1"/>
            <w:u w:val="single"/>
          </w:rPr>
          <w:t>https://www.ncbi.nlm.nih.gov/refseq/MANE/</w:t>
        </w:r>
      </w:hyperlink>
    </w:p>
    <w:p>
      <w:r>
        <w:t xml:space="preserve">NCBI RefSeq Select (2024). RefSeq Select documentation. Beschreibt repräsentative Select-Transkripte und Auswahlkriterien. </w:t>
      </w:r>
      <w:hyperlink r:id="rId11">
        <w:r>
          <w:rPr>
            <w:color w:val="0563C1"/>
            <w:u w:val="single"/>
          </w:rPr>
          <w:t>https://www.ncbi.nlm.nih.gov/refseq/refseq_select/</w:t>
        </w:r>
      </w:hyperlink>
    </w:p>
    <w:p>
      <w:r>
        <w:t xml:space="preserve">Goldfarb, T. et al. (2025). NCBI RefSeq: reference sequence standards through 25 years. Nucleic Acids Research. Beschreibt RefSeq als kuratierte Referenzsequenzressource. </w:t>
      </w:r>
      <w:hyperlink r:id="rId12">
        <w:r>
          <w:rPr>
            <w:color w:val="0563C1"/>
            <w:u w:val="single"/>
          </w:rPr>
          <w:t>https://academic.oup.com/nar/article/53/D1/D243/7889254</w:t>
        </w:r>
      </w:hyperlink>
    </w:p>
    <w:p>
      <w:r>
        <w:t xml:space="preserve">Rodriguez, J. M. et al. (2013). APPRIS: annotation of principal and alternative splice isoforms. Nucleic Acids Research. Begründet APPRIS Principal Isoforms. </w:t>
      </w:r>
      <w:hyperlink r:id="rId13">
        <w:r>
          <w:rPr>
            <w:color w:val="0563C1"/>
            <w:u w:val="single"/>
          </w:rPr>
          <w:t>https://academic.oup.com/nar/article/41/D1/D110/1054030</w:t>
        </w:r>
      </w:hyperlink>
    </w:p>
    <w:p>
      <w:r>
        <w:t xml:space="preserve">Rodriguez, J. M. et al. (2022). APPRIS: selecting functionally important isoforms. PubMed/NAR update. Beschreibt Auswahl anhand Struktur, Funktion und Konservierung. </w:t>
      </w:r>
      <w:hyperlink r:id="rId14">
        <w:r>
          <w:rPr>
            <w:color w:val="0563C1"/>
            <w:u w:val="single"/>
          </w:rPr>
          <w:t>https://pubmed.ncbi.nlm.nih.gov/34755885/</w:t>
        </w:r>
      </w:hyperlink>
    </w:p>
    <w:p>
      <w:r>
        <w:t xml:space="preserve">Holzmann, K. et al. (2011). Alternative Splicing of Fibroblast Growth Factor Receptor IgIII Loops in Cancer. Beschreibt FGFR-IgIII-Splicing und IIIb/IIIc-Kontext. </w:t>
      </w:r>
      <w:hyperlink r:id="rId15">
        <w:r>
          <w:rPr>
            <w:color w:val="0563C1"/>
            <w:u w:val="single"/>
          </w:rPr>
          <w:t>https://pmc.ncbi.nlm.nih.gov/articles/PMC3238399/</w:t>
        </w:r>
      </w:hyperlink>
    </w:p>
    <w:p>
      <w:r>
        <w:t xml:space="preserve">Jones, R. B. et al. (2001). 5′- and 3′-terminal nucleotides in the FGFR2 ISAR splicing element. Nucleic Acids Research. Beschreibt alternative Nutzung von Exon 8/9 und funktionelle Relevanz von FGFR2IIIb/IIIc. </w:t>
      </w:r>
      <w:hyperlink r:id="rId16">
        <w:r>
          <w:rPr>
            <w:color w:val="0563C1"/>
            <w:u w:val="single"/>
          </w:rPr>
          <w:t>https://academic.oup.com/nar/article/29/17/3557/1065090</w:t>
        </w:r>
      </w:hyperlink>
    </w:p>
    <w:p>
      <w:r>
        <w:t xml:space="preserve">Wilkinson, M. D. et al. (2016). The FAIR Guiding Principles for scientific data management and stewardship. Scientific Data. Begründet Metadaten, Nachvollziehbarkeit und Wiederverwendbarkeit. </w:t>
      </w:r>
      <w:hyperlink r:id="rId17">
        <w:r>
          <w:rPr>
            <w:color w:val="0563C1"/>
            <w:u w:val="single"/>
          </w:rPr>
          <w:t>https://www.nature.com/articles/sdata201618</w:t>
        </w:r>
      </w:hyperlink>
    </w:p>
    <w:p>
      <w:r>
        <w:t xml:space="preserve">CommonMark (2021). CommonMark Specification. Begründet Markdown als standardisierte Klartextstruktur für Reports. </w:t>
      </w:r>
      <w:hyperlink r:id="rId18">
        <w:r>
          <w:rPr>
            <w:color w:val="0563C1"/>
            <w:u w:val="single"/>
          </w:rPr>
          <w:t>https://spec.commonmark.org/0.30/</w:t>
        </w:r>
      </w:hyperlink>
    </w:p>
    <w:p>
      <w:r>
        <w:t xml:space="preserve">Matplotlib documentation. pyplot.savefig. Begründet Speicherung von Plots als reproduzierbare Output-Dateien. </w:t>
      </w:r>
      <w:hyperlink r:id="rId19">
        <w:r>
          <w:rPr>
            <w:color w:val="0563C1"/>
            <w:u w:val="single"/>
          </w:rPr>
          <w:t>https://matplotlib.org/stable/api/_as_gen/matplotlib.pyplot.savefig.html</w:t>
        </w:r>
      </w:hyperlink>
    </w:p>
    <w:p>
      <w:r>
        <w:t xml:space="preserve">pytest documentation. tmp_path fixture. Begründet isolierte temporäre Testverzeichnisse für I/O-Tests. </w:t>
      </w:r>
      <w:hyperlink r:id="rId20">
        <w:r>
          <w:rPr>
            <w:color w:val="0563C1"/>
            <w:u w:val="single"/>
          </w:rPr>
          <w:t>https://docs.pytest.org/en/stable/how-to/tmp_path.html</w:t>
        </w:r>
      </w:hyperlink>
    </w:p>
    <w:sectPr w:rsidR="00FC693F" w:rsidRPr="0006063C" w:rsidSect="00034616">
      <w:footerReference w:type="default" r:id="rId21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Methodenbeschreibung Script 3 – FGFR2 Transcript Selection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nature.com/articles/s41586-022-04558-8" TargetMode="External"/><Relationship Id="rId10" Type="http://schemas.openxmlformats.org/officeDocument/2006/relationships/hyperlink" Target="https://www.ncbi.nlm.nih.gov/refseq/MANE/" TargetMode="External"/><Relationship Id="rId11" Type="http://schemas.openxmlformats.org/officeDocument/2006/relationships/hyperlink" Target="https://www.ncbi.nlm.nih.gov/refseq/refseq_select/" TargetMode="External"/><Relationship Id="rId12" Type="http://schemas.openxmlformats.org/officeDocument/2006/relationships/hyperlink" Target="https://academic.oup.com/nar/article/53/D1/D243/7889254" TargetMode="External"/><Relationship Id="rId13" Type="http://schemas.openxmlformats.org/officeDocument/2006/relationships/hyperlink" Target="https://academic.oup.com/nar/article/41/D1/D110/1054030" TargetMode="External"/><Relationship Id="rId14" Type="http://schemas.openxmlformats.org/officeDocument/2006/relationships/hyperlink" Target="https://pubmed.ncbi.nlm.nih.gov/34755885/" TargetMode="External"/><Relationship Id="rId15" Type="http://schemas.openxmlformats.org/officeDocument/2006/relationships/hyperlink" Target="https://pmc.ncbi.nlm.nih.gov/articles/PMC3238399/" TargetMode="External"/><Relationship Id="rId16" Type="http://schemas.openxmlformats.org/officeDocument/2006/relationships/hyperlink" Target="https://academic.oup.com/nar/article/29/17/3557/1065090" TargetMode="External"/><Relationship Id="rId17" Type="http://schemas.openxmlformats.org/officeDocument/2006/relationships/hyperlink" Target="https://www.nature.com/articles/sdata201618" TargetMode="External"/><Relationship Id="rId18" Type="http://schemas.openxmlformats.org/officeDocument/2006/relationships/hyperlink" Target="https://spec.commonmark.org/0.30/" TargetMode="External"/><Relationship Id="rId19" Type="http://schemas.openxmlformats.org/officeDocument/2006/relationships/hyperlink" Target="https://matplotlib.org/stable/api/_as_gen/matplotlib.pyplot.savefig.html" TargetMode="External"/><Relationship Id="rId20" Type="http://schemas.openxmlformats.org/officeDocument/2006/relationships/hyperlink" Target="https://docs.pytest.org/en/stable/how-to/tmp_path.html" TargetMode="Externa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