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Methodenbeschreibung: Orthologie- und Paralogievalidierung ausgewählter FGFR2-Proteinmodelle</w:t>
      </w:r>
    </w:p>
    <w:p>
      <w:pPr>
        <w:jc w:val="center"/>
      </w:pPr>
      <w:r>
        <w:rPr>
          <w:i/>
          <w:sz w:val="24"/>
        </w:rPr>
        <w:t>Pipeline-Schritt 06b: validate_fgfr2_orthology_and_paralogy.py</w:t>
      </w:r>
    </w:p>
    <w:p>
      <w:pPr>
        <w:jc w:val="center"/>
      </w:pPr>
      <w:r>
        <w:rPr>
          <w:sz w:val="20"/>
        </w:rPr>
        <w:t>Bachelorarbeit: An Annotation-Aware Framework for Assessing the Consistency and Robustness of Exon-Domain Boundary Identification Across Vertebrate Orthologs: FGFR2 IIIb/IIIc as a Case Study</w:t>
      </w:r>
    </w:p>
    <w:p>
      <w:pPr>
        <w:jc w:val="center"/>
      </w:pPr>
      <w:r>
        <w:br/>
      </w:r>
    </w:p>
    <w:p>
      <w:pPr>
        <w:pStyle w:val="Heading1"/>
      </w:pPr>
      <w:r>
        <w:t>1. Ziel des Pipeline-Schritts</w:t>
      </w:r>
    </w:p>
    <w:p>
      <w:r>
        <w:t>Ziel dieses Pipeline-Schritts ist die sequenzbasierte Validierung der zuvor ausgewählten FGFR2-Proteinmodelle. Da FGFR2 Teil der Fibroblast-Growth-Factor-Receptor-Genfamilie ist und enge Paraloge wie FGFR1, FGFR3 und FGFR4 besitzt, reicht eine reine Datenbankbezeichnung als „FGFR2“ nicht aus, um eine robuste vergleichende Analyse abzusichern. Der Schritt prüft daher, ob jedes exportierte Kandidatenprotein innerhalb eines kuratierten FGFR-Paralog-Referenzpanels am stärksten mit FGFR2 und nicht mit einem anderen FGFR-Paralog vereinbar ist.</w:t>
      </w:r>
    </w:p>
    <w:p>
      <w:pPr>
        <w:pStyle w:val="Heading1"/>
      </w:pPr>
      <w:r>
        <w:t>2. Rolle im Gesamtworkflow</w:t>
      </w:r>
    </w:p>
    <w:p>
      <w:r>
        <w:t>Der Schritt wird nach dem Proteinexport und vor der InterPro-Vorbereitung eingesetzt. Er bildet eine unabhängige Qualitätssicherungsschicht zwischen annotationeller Transkriptauswahl und nachgelagerter Domänenanalyse. Dadurch wird verhindert, dass mögliche Paralog-Verwechslungen oder schwach unterstützte Sequenzen unbemerkt in die Exon-Domain-Interpretation eingehen.</w:t>
      </w:r>
    </w:p>
    <w:p>
      <w:pPr>
        <w:pStyle w:val="Heading1"/>
      </w:pPr>
      <w:r>
        <w:t>3. Wissenschaftliche Begründung</w:t>
      </w:r>
    </w:p>
    <w:p>
      <w:r>
        <w:t>Die Validierung basiert auf lokaler Sequenzähnlichkeitssuche mit BLASTP. BLAST wurde ursprünglich als heuristisches Verfahren zur Identifikation lokaler Sequenzähnlichkeiten beschrieben [1]; die moderne BLAST+-Implementierung stellt Kommandozeilenwerkzeuge wie blastp und makeblastdb für reproduzierbare lokale Analysen bereit [2,3]. Für diese Arbeit wird BLASTP nicht als alleiniger Beweis für Orthologie verstanden, sondern als kontrollierte Paralogie- und Plausibilitätsprüfung innerhalb der FGFR-Familie.</w:t>
      </w:r>
    </w:p>
    <w:p>
      <w:r>
        <w:t>Der methodische Kern ist ein best-paralog support test: Für jedes Kandidatenprotein werden BLASTP-Treffer gegen FGFR1, FGFR2, FGFR3 und FGFR4 verglichen. Ein Kandidat wird nur dann als robustes FGFR2-Modell interpretiert, wenn FGFR2 der beste unterstützte Paralog ist und der Abstand zum nächstbesten Paralog ausreichend groß ist. Dieser Margin-basierte Ansatz ist wichtig, weil orthologe und paraloge Gene innerhalb derselben Proteinfamilie ähnliche Domänenarchitekturen besitzen können.</w:t>
      </w:r>
    </w:p>
    <w:p>
      <w:r>
        <w:t>Zusätzlich kann ein reciprocal panel consistency test durchgeführt werden. Reciprocal-best-hit-ähnliche Verfahren werden häufig als schnelle Näherung zur Orthologieerkennung genutzt, auch wenn sie phylogenetische Analysen nicht vollständig ersetzen [4,5]. In diesem Skript wird daher optional geprüft, ob das Referenzpanel in Gegenrichtung konsistent die exportierten FGFR2-Kandidaten unterstützt.</w:t>
      </w:r>
    </w:p>
    <w:p>
      <w:pPr>
        <w:pStyle w:val="Heading1"/>
      </w:pPr>
      <w:r>
        <w:t>4. Input und Output</w:t>
      </w:r>
    </w:p>
    <w:p>
      <w:pPr>
        <w:pStyle w:val="Heading2"/>
      </w:pPr>
      <w:r>
        <w:t>4.1 Input</w:t>
      </w:r>
    </w:p>
    <w:tbl>
      <w:tblPr>
        <w:tblStyle w:val="TableGrid"/>
        <w:tblW w:type="auto" w:w="0"/>
        <w:jc w:val="center"/>
        <w:tblLook w:firstColumn="1" w:firstRow="1" w:lastColumn="0" w:lastRow="0" w:noHBand="0" w:noVBand="1" w:val="04A0"/>
      </w:tblPr>
      <w:tblGrid>
        <w:gridCol w:w="4788"/>
        <w:gridCol w:w="4788"/>
      </w:tblGrid>
      <w:tr>
        <w:tc>
          <w:tcPr>
            <w:tcW w:type="dxa" w:w="2551"/>
            <w:vAlign w:val="center"/>
            <w:shd w:fill="D9EAF7"/>
          </w:tcPr>
          <w:p>
            <w:r/>
            <w:r>
              <w:rPr>
                <w:b/>
                <w:sz w:val="18"/>
              </w:rPr>
              <w:t>Datei / Parameter</w:t>
            </w:r>
          </w:p>
        </w:tc>
        <w:tc>
          <w:tcPr>
            <w:tcW w:type="dxa" w:w="6520"/>
            <w:vAlign w:val="center"/>
            <w:shd w:fill="D9EAF7"/>
          </w:tcPr>
          <w:p>
            <w:r/>
            <w:r>
              <w:rPr>
                <w:b/>
                <w:sz w:val="18"/>
              </w:rPr>
              <w:t>Beschreibung</w:t>
            </w:r>
          </w:p>
        </w:tc>
      </w:tr>
      <w:tr>
        <w:tc>
          <w:tcPr>
            <w:tcW w:type="dxa" w:w="2551"/>
            <w:vAlign w:val="center"/>
          </w:tcPr>
          <w:p>
            <w:r/>
            <w:r>
              <w:rPr>
                <w:b w:val="0"/>
                <w:sz w:val="18"/>
              </w:rPr>
              <w:t>--query_fasta</w:t>
            </w:r>
          </w:p>
        </w:tc>
        <w:tc>
          <w:tcPr>
            <w:tcW w:type="dxa" w:w="6520"/>
            <w:vAlign w:val="center"/>
          </w:tcPr>
          <w:p>
            <w:r/>
            <w:r>
              <w:rPr>
                <w:b w:val="0"/>
                <w:sz w:val="18"/>
              </w:rPr>
              <w:t>FASTA-Datei mit den ausgewählten FGFR2-Kandidatenproteinen, typischerweise aus export_selected_fgfr2_proteins_complete.py.</w:t>
            </w:r>
          </w:p>
        </w:tc>
      </w:tr>
      <w:tr>
        <w:tc>
          <w:tcPr>
            <w:tcW w:type="dxa" w:w="2551"/>
            <w:vAlign w:val="center"/>
          </w:tcPr>
          <w:p>
            <w:r/>
            <w:r>
              <w:rPr>
                <w:b w:val="0"/>
                <w:sz w:val="18"/>
              </w:rPr>
              <w:t>--protein_report</w:t>
            </w:r>
          </w:p>
        </w:tc>
        <w:tc>
          <w:tcPr>
            <w:tcW w:type="dxa" w:w="6520"/>
            <w:vAlign w:val="center"/>
          </w:tcPr>
          <w:p>
            <w:r/>
            <w:r>
              <w:rPr>
                <w:b w:val="0"/>
                <w:sz w:val="18"/>
              </w:rPr>
              <w:t>Optionaler Proteinexport-Report mit Species-, Transkript-, Protein-, Source-, Rollen- und Isoforminformationen.</w:t>
            </w:r>
          </w:p>
        </w:tc>
      </w:tr>
      <w:tr>
        <w:tc>
          <w:tcPr>
            <w:tcW w:type="dxa" w:w="2551"/>
            <w:vAlign w:val="center"/>
          </w:tcPr>
          <w:p>
            <w:r/>
            <w:r>
              <w:rPr>
                <w:b w:val="0"/>
                <w:sz w:val="18"/>
              </w:rPr>
              <w:t>--reference_fasta</w:t>
            </w:r>
          </w:p>
        </w:tc>
        <w:tc>
          <w:tcPr>
            <w:tcW w:type="dxa" w:w="6520"/>
            <w:vAlign w:val="center"/>
          </w:tcPr>
          <w:p>
            <w:r/>
            <w:r>
              <w:rPr>
                <w:b w:val="0"/>
                <w:sz w:val="18"/>
              </w:rPr>
              <w:t>Kuratiertes FGFR-Paralog-Referenzpanel mit FGFR1-, FGFR2-, FGFR3- und FGFR4-Proteinsequenzen. Für die finale Analyse kann ein vertebratenweites Multi-Reference-Panel verwendet werden.</w:t>
            </w:r>
          </w:p>
        </w:tc>
      </w:tr>
      <w:tr>
        <w:tc>
          <w:tcPr>
            <w:tcW w:type="dxa" w:w="2551"/>
            <w:vAlign w:val="center"/>
          </w:tcPr>
          <w:p>
            <w:r/>
            <w:r>
              <w:rPr>
                <w:b w:val="0"/>
                <w:sz w:val="18"/>
              </w:rPr>
              <w:t>--reciprocal_panel_test</w:t>
            </w:r>
          </w:p>
        </w:tc>
        <w:tc>
          <w:tcPr>
            <w:tcW w:type="dxa" w:w="6520"/>
            <w:vAlign w:val="center"/>
          </w:tcPr>
          <w:p>
            <w:r/>
            <w:r>
              <w:rPr>
                <w:b w:val="0"/>
                <w:sz w:val="18"/>
              </w:rPr>
              <w:t>Optionale Aktivierung der Gegenrichtungsprüfung: Referenzpanel gegen exportierte Kandidatensequenzen.</w:t>
            </w:r>
          </w:p>
        </w:tc>
      </w:tr>
      <w:tr>
        <w:tc>
          <w:tcPr>
            <w:tcW w:type="dxa" w:w="2551"/>
            <w:vAlign w:val="center"/>
          </w:tcPr>
          <w:p>
            <w:r/>
            <w:r>
              <w:rPr>
                <w:b w:val="0"/>
                <w:sz w:val="18"/>
              </w:rPr>
              <w:t>--threads / --evalue</w:t>
            </w:r>
          </w:p>
        </w:tc>
        <w:tc>
          <w:tcPr>
            <w:tcW w:type="dxa" w:w="6520"/>
            <w:vAlign w:val="center"/>
          </w:tcPr>
          <w:p>
            <w:r/>
            <w:r>
              <w:rPr>
                <w:b w:val="0"/>
                <w:sz w:val="18"/>
              </w:rPr>
              <w:t>Technische BLASTP-Parameter zur Parallelisierung und Signifikanzfilterung.</w:t>
            </w:r>
          </w:p>
        </w:tc>
      </w:tr>
    </w:tbl>
    <w:p/>
    <w:p>
      <w:pPr>
        <w:pStyle w:val="Heading2"/>
      </w:pPr>
      <w:r>
        <w:t>4.2 Output</w:t>
      </w:r>
    </w:p>
    <w:tbl>
      <w:tblPr>
        <w:tblStyle w:val="TableGrid"/>
        <w:tblW w:type="auto" w:w="0"/>
        <w:jc w:val="center"/>
        <w:tblLook w:firstColumn="1" w:firstRow="1" w:lastColumn="0" w:lastRow="0" w:noHBand="0" w:noVBand="1" w:val="04A0"/>
      </w:tblPr>
      <w:tblGrid>
        <w:gridCol w:w="4788"/>
        <w:gridCol w:w="4788"/>
      </w:tblGrid>
      <w:tr>
        <w:tc>
          <w:tcPr>
            <w:tcW w:type="dxa" w:w="3118"/>
            <w:vAlign w:val="center"/>
            <w:shd w:fill="D9EAF7"/>
          </w:tcPr>
          <w:p>
            <w:r/>
            <w:r>
              <w:rPr>
                <w:b/>
                <w:sz w:val="18"/>
              </w:rPr>
              <w:t>Output-Datei</w:t>
            </w:r>
          </w:p>
        </w:tc>
        <w:tc>
          <w:tcPr>
            <w:tcW w:type="dxa" w:w="5953"/>
            <w:vAlign w:val="center"/>
            <w:shd w:fill="D9EAF7"/>
          </w:tcPr>
          <w:p>
            <w:r/>
            <w:r>
              <w:rPr>
                <w:b/>
                <w:sz w:val="18"/>
              </w:rPr>
              <w:t>Inhalt</w:t>
            </w:r>
          </w:p>
        </w:tc>
      </w:tr>
      <w:tr>
        <w:tc>
          <w:tcPr>
            <w:tcW w:type="dxa" w:w="3118"/>
            <w:vAlign w:val="center"/>
          </w:tcPr>
          <w:p>
            <w:r/>
            <w:r>
              <w:rPr>
                <w:b w:val="0"/>
                <w:sz w:val="18"/>
              </w:rPr>
              <w:t>fgfr2_orthology_validation.tsv</w:t>
            </w:r>
          </w:p>
        </w:tc>
        <w:tc>
          <w:tcPr>
            <w:tcW w:type="dxa" w:w="5953"/>
            <w:vAlign w:val="center"/>
          </w:tcPr>
          <w:p>
            <w:r/>
            <w:r>
              <w:rPr>
                <w:b w:val="0"/>
                <w:sz w:val="18"/>
              </w:rPr>
              <w:t>Protein-Level-Haupttabelle mit best_ref_gene, second_ref_gene, Bitscores, Coverage, Prozentidentität, Margin und orthology_status.</w:t>
            </w:r>
          </w:p>
        </w:tc>
      </w:tr>
      <w:tr>
        <w:tc>
          <w:tcPr>
            <w:tcW w:type="dxa" w:w="3118"/>
            <w:vAlign w:val="center"/>
          </w:tcPr>
          <w:p>
            <w:r/>
            <w:r>
              <w:rPr>
                <w:b w:val="0"/>
                <w:sz w:val="18"/>
              </w:rPr>
              <w:t>fgfr2_orthology_species_summary.tsv</w:t>
            </w:r>
          </w:p>
        </w:tc>
        <w:tc>
          <w:tcPr>
            <w:tcW w:type="dxa" w:w="5953"/>
            <w:vAlign w:val="center"/>
          </w:tcPr>
          <w:p>
            <w:r/>
            <w:r>
              <w:rPr>
                <w:b w:val="0"/>
                <w:sz w:val="18"/>
              </w:rPr>
              <w:t>Species-Level-Zusammenfassung mit Anzahl getesteter Proteine, minimaler FGFR2-Margin, minimaler Coverage und Species-Status.</w:t>
            </w:r>
          </w:p>
        </w:tc>
      </w:tr>
      <w:tr>
        <w:tc>
          <w:tcPr>
            <w:tcW w:type="dxa" w:w="3118"/>
            <w:vAlign w:val="center"/>
          </w:tcPr>
          <w:p>
            <w:r/>
            <w:r>
              <w:rPr>
                <w:b w:val="0"/>
                <w:sz w:val="18"/>
              </w:rPr>
              <w:t>fgfr2_paralog_risk.tsv</w:t>
            </w:r>
          </w:p>
        </w:tc>
        <w:tc>
          <w:tcPr>
            <w:tcW w:type="dxa" w:w="5953"/>
            <w:vAlign w:val="center"/>
          </w:tcPr>
          <w:p>
            <w:r/>
            <w:r>
              <w:rPr>
                <w:b w:val="0"/>
                <w:sz w:val="18"/>
              </w:rPr>
              <w:t>Kandidaten mit ambiger oder potenziell problematischer Paralogieunterstützung.</w:t>
            </w:r>
          </w:p>
        </w:tc>
      </w:tr>
      <w:tr>
        <w:tc>
          <w:tcPr>
            <w:tcW w:type="dxa" w:w="3118"/>
            <w:vAlign w:val="center"/>
          </w:tcPr>
          <w:p>
            <w:r/>
            <w:r>
              <w:rPr>
                <w:b w:val="0"/>
                <w:sz w:val="18"/>
              </w:rPr>
              <w:t>fgfr2_orthology_warnings.tsv</w:t>
            </w:r>
          </w:p>
        </w:tc>
        <w:tc>
          <w:tcPr>
            <w:tcW w:type="dxa" w:w="5953"/>
            <w:vAlign w:val="center"/>
          </w:tcPr>
          <w:p>
            <w:r/>
            <w:r>
              <w:rPr>
                <w:b w:val="0"/>
                <w:sz w:val="18"/>
              </w:rPr>
              <w:t>Technische oder biologische Warnungen, z. B. fehlende Treffer oder unvollständige Sequenzen.</w:t>
            </w:r>
          </w:p>
        </w:tc>
      </w:tr>
      <w:tr>
        <w:tc>
          <w:tcPr>
            <w:tcW w:type="dxa" w:w="3118"/>
            <w:vAlign w:val="center"/>
          </w:tcPr>
          <w:p>
            <w:r/>
            <w:r>
              <w:rPr>
                <w:b w:val="0"/>
                <w:sz w:val="18"/>
              </w:rPr>
              <w:t>fgfr2_reciprocal_species_summary.tsv</w:t>
            </w:r>
          </w:p>
        </w:tc>
        <w:tc>
          <w:tcPr>
            <w:tcW w:type="dxa" w:w="5953"/>
            <w:vAlign w:val="center"/>
          </w:tcPr>
          <w:p>
            <w:r/>
            <w:r>
              <w:rPr>
                <w:b w:val="0"/>
                <w:sz w:val="18"/>
              </w:rPr>
              <w:t>Optionaler Summary-Output des reciprocal panel consistency tests.</w:t>
            </w:r>
          </w:p>
        </w:tc>
      </w:tr>
      <w:tr>
        <w:tc>
          <w:tcPr>
            <w:tcW w:type="dxa" w:w="3118"/>
            <w:vAlign w:val="center"/>
          </w:tcPr>
          <w:p>
            <w:r/>
            <w:r>
              <w:rPr>
                <w:b w:val="0"/>
                <w:sz w:val="18"/>
              </w:rPr>
              <w:t>fgfr2_orthology_report.md</w:t>
            </w:r>
          </w:p>
        </w:tc>
        <w:tc>
          <w:tcPr>
            <w:tcW w:type="dxa" w:w="5953"/>
            <w:vAlign w:val="center"/>
          </w:tcPr>
          <w:p>
            <w:r/>
            <w:r>
              <w:rPr>
                <w:b w:val="0"/>
                <w:sz w:val="18"/>
              </w:rPr>
              <w:t>Automatisch erzeugter Methoden- und Ergebnisreport mit Kernzahlen des Laufs.</w:t>
            </w:r>
          </w:p>
        </w:tc>
      </w:tr>
      <w:tr>
        <w:tc>
          <w:tcPr>
            <w:tcW w:type="dxa" w:w="3118"/>
            <w:vAlign w:val="center"/>
          </w:tcPr>
          <w:p>
            <w:r/>
            <w:r>
              <w:rPr>
                <w:b w:val="0"/>
                <w:sz w:val="18"/>
              </w:rPr>
              <w:t>PDF/PNG-Plots</w:t>
            </w:r>
          </w:p>
        </w:tc>
        <w:tc>
          <w:tcPr>
            <w:tcW w:type="dxa" w:w="5953"/>
            <w:vAlign w:val="center"/>
          </w:tcPr>
          <w:p>
            <w:r/>
            <w:r>
              <w:rPr>
                <w:b w:val="0"/>
                <w:sz w:val="18"/>
              </w:rPr>
              <w:t>Wissenschaftliche Visualisierungen für Protein-Level-, Species-Level- und Paralog-Support-Interpretation.</w:t>
            </w:r>
          </w:p>
        </w:tc>
      </w:tr>
    </w:tbl>
    <w:p/>
    <w:p>
      <w:pPr>
        <w:pStyle w:val="Heading1"/>
      </w:pPr>
      <w:r>
        <w:t>5. Algorithmische Vorgehensweise</w:t>
      </w:r>
    </w:p>
    <w:p>
      <w:pPr>
        <w:pStyle w:val="Heading2"/>
      </w:pPr>
      <w:r>
        <w:t>5.1 Referenzpanel und Multi-Reference-Strategie</w:t>
      </w:r>
    </w:p>
    <w:p>
      <w:r>
        <w:t>Das Referenzpanel enthält mindestens je eine repräsentative Proteinsequenz für FGFR1, FGFR2, FGFR3 und FGFR4. Für schnelle Tests wurde ein humanes UniProt-Panel verwendet. UniProt ist eine etablierte Ressource für Proteinsequenzen und funktionelle Annotationen; die aktuelle UniProt-Veröffentlichung beschreibt die Universal Protein Knowledgebase als zentrale, frei zugängliche Proteinressource [6]. Für die finale Thesis-Version ist ein erweitertes vertebratenweites Panel empfehlenswert, z. B. mit Referenzen aus Mensch, Maus, Huhn, Xenopus und Zebrafisch. Dadurch wird die Prüfung weniger anfällig gegenüber Referenzspezies-Bias.</w:t>
      </w:r>
    </w:p>
    <w:p>
      <w:pPr>
        <w:pStyle w:val="Heading2"/>
      </w:pPr>
      <w:r>
        <w:t>5.2 BLASTP-basierte Paralogieprüfung</w:t>
      </w:r>
    </w:p>
    <w:p>
      <w:r>
        <w:t>Für jedes Kandidatenprotein wird BLASTP gegen das FGFR-Referenzpanel ausgeführt. Aus den BLASTP-Ergebnissen werden pro Kandidat die besten Treffer pro Paralog extrahiert. Neben dem besten Paralog werden Query Coverage, Prozentidentität und Bitscore gespeichert. Der Bitscore dient als robuste Ranggröße, weil er alignmentabhängige Sequenzähnlichkeit quantitativ zusammenfasst.</w:t>
      </w:r>
    </w:p>
    <w:tbl>
      <w:tblPr>
        <w:tblStyle w:val="TableGrid"/>
        <w:tblW w:type="auto" w:w="0"/>
        <w:jc w:val="center"/>
        <w:tblLook w:firstColumn="1" w:firstRow="1" w:lastColumn="0" w:lastRow="0" w:noHBand="0" w:noVBand="1" w:val="04A0"/>
      </w:tblPr>
      <w:tblGrid>
        <w:gridCol w:w="4788"/>
        <w:gridCol w:w="4788"/>
      </w:tblGrid>
      <w:tr>
        <w:tc>
          <w:tcPr>
            <w:tcW w:type="dxa" w:w="2551"/>
            <w:vAlign w:val="center"/>
            <w:shd w:fill="D9EAF7"/>
          </w:tcPr>
          <w:p>
            <w:r/>
            <w:r>
              <w:rPr>
                <w:b/>
                <w:sz w:val="18"/>
              </w:rPr>
              <w:t>Metrik</w:t>
            </w:r>
          </w:p>
        </w:tc>
        <w:tc>
          <w:tcPr>
            <w:tcW w:type="dxa" w:w="6520"/>
            <w:vAlign w:val="center"/>
            <w:shd w:fill="D9EAF7"/>
          </w:tcPr>
          <w:p>
            <w:r/>
            <w:r>
              <w:rPr>
                <w:b/>
                <w:sz w:val="18"/>
              </w:rPr>
              <w:t>Bedeutung im Skript</w:t>
            </w:r>
          </w:p>
        </w:tc>
      </w:tr>
      <w:tr>
        <w:tc>
          <w:tcPr>
            <w:tcW w:type="dxa" w:w="2551"/>
            <w:vAlign w:val="center"/>
          </w:tcPr>
          <w:p>
            <w:r/>
            <w:r>
              <w:rPr>
                <w:b w:val="0"/>
                <w:sz w:val="18"/>
              </w:rPr>
              <w:t>best_ref_gene</w:t>
            </w:r>
          </w:p>
        </w:tc>
        <w:tc>
          <w:tcPr>
            <w:tcW w:type="dxa" w:w="6520"/>
            <w:vAlign w:val="center"/>
          </w:tcPr>
          <w:p>
            <w:r/>
            <w:r>
              <w:rPr>
                <w:b w:val="0"/>
                <w:sz w:val="18"/>
              </w:rPr>
              <w:t>FGFR-Paralog mit der stärksten Sequenzunterstützung.</w:t>
            </w:r>
          </w:p>
        </w:tc>
      </w:tr>
      <w:tr>
        <w:tc>
          <w:tcPr>
            <w:tcW w:type="dxa" w:w="2551"/>
            <w:vAlign w:val="center"/>
          </w:tcPr>
          <w:p>
            <w:r/>
            <w:r>
              <w:rPr>
                <w:b w:val="0"/>
                <w:sz w:val="18"/>
              </w:rPr>
              <w:t>second_ref_gene</w:t>
            </w:r>
          </w:p>
        </w:tc>
        <w:tc>
          <w:tcPr>
            <w:tcW w:type="dxa" w:w="6520"/>
            <w:vAlign w:val="center"/>
          </w:tcPr>
          <w:p>
            <w:r/>
            <w:r>
              <w:rPr>
                <w:b w:val="0"/>
                <w:sz w:val="18"/>
              </w:rPr>
              <w:t>Nächstbester konkurrierender Paralog.</w:t>
            </w:r>
          </w:p>
        </w:tc>
      </w:tr>
      <w:tr>
        <w:tc>
          <w:tcPr>
            <w:tcW w:type="dxa" w:w="2551"/>
            <w:vAlign w:val="center"/>
          </w:tcPr>
          <w:p>
            <w:r/>
            <w:r>
              <w:rPr>
                <w:b w:val="0"/>
                <w:sz w:val="18"/>
              </w:rPr>
              <w:t>fgfr2_bitscore</w:t>
            </w:r>
          </w:p>
        </w:tc>
        <w:tc>
          <w:tcPr>
            <w:tcW w:type="dxa" w:w="6520"/>
            <w:vAlign w:val="center"/>
          </w:tcPr>
          <w:p>
            <w:r/>
            <w:r>
              <w:rPr>
                <w:b w:val="0"/>
                <w:sz w:val="18"/>
              </w:rPr>
              <w:t>Bitscore des besten FGFR2-Treffers.</w:t>
            </w:r>
          </w:p>
        </w:tc>
      </w:tr>
      <w:tr>
        <w:tc>
          <w:tcPr>
            <w:tcW w:type="dxa" w:w="2551"/>
            <w:vAlign w:val="center"/>
          </w:tcPr>
          <w:p>
            <w:r/>
            <w:r>
              <w:rPr>
                <w:b w:val="0"/>
                <w:sz w:val="18"/>
              </w:rPr>
              <w:t>score_margin_fraction</w:t>
            </w:r>
          </w:p>
        </w:tc>
        <w:tc>
          <w:tcPr>
            <w:tcW w:type="dxa" w:w="6520"/>
            <w:vAlign w:val="center"/>
          </w:tcPr>
          <w:p>
            <w:r/>
            <w:r>
              <w:rPr>
                <w:b w:val="0"/>
                <w:sz w:val="18"/>
              </w:rPr>
              <w:t>Relativer Abstand zwischen FGFR2 und dem nächstbesten Paralog.</w:t>
            </w:r>
          </w:p>
        </w:tc>
      </w:tr>
      <w:tr>
        <w:tc>
          <w:tcPr>
            <w:tcW w:type="dxa" w:w="2551"/>
            <w:vAlign w:val="center"/>
          </w:tcPr>
          <w:p>
            <w:r/>
            <w:r>
              <w:rPr>
                <w:b w:val="0"/>
                <w:sz w:val="18"/>
              </w:rPr>
              <w:t>best_query_coverage</w:t>
            </w:r>
          </w:p>
        </w:tc>
        <w:tc>
          <w:tcPr>
            <w:tcW w:type="dxa" w:w="6520"/>
            <w:vAlign w:val="center"/>
          </w:tcPr>
          <w:p>
            <w:r/>
            <w:r>
              <w:rPr>
                <w:b w:val="0"/>
                <w:sz w:val="18"/>
              </w:rPr>
              <w:t>Anteil des Kandidatenproteins, der vom besten Treffer abgedeckt wird.</w:t>
            </w:r>
          </w:p>
        </w:tc>
      </w:tr>
      <w:tr>
        <w:tc>
          <w:tcPr>
            <w:tcW w:type="dxa" w:w="2551"/>
            <w:vAlign w:val="center"/>
          </w:tcPr>
          <w:p>
            <w:r/>
            <w:r>
              <w:rPr>
                <w:b w:val="0"/>
                <w:sz w:val="18"/>
              </w:rPr>
              <w:t>best_pident</w:t>
            </w:r>
          </w:p>
        </w:tc>
        <w:tc>
          <w:tcPr>
            <w:tcW w:type="dxa" w:w="6520"/>
            <w:vAlign w:val="center"/>
          </w:tcPr>
          <w:p>
            <w:r/>
            <w:r>
              <w:rPr>
                <w:b w:val="0"/>
                <w:sz w:val="18"/>
              </w:rPr>
              <w:t>Prozentidentität des besten BLASTP-Treffers.</w:t>
            </w:r>
          </w:p>
        </w:tc>
      </w:tr>
    </w:tbl>
    <w:p/>
    <w:p>
      <w:pPr>
        <w:pStyle w:val="Heading2"/>
      </w:pPr>
      <w:r>
        <w:t>5.3 Klassifikation der Orthologie-/Paralogieunterstützung</w:t>
      </w:r>
    </w:p>
    <w:p>
      <w:r>
        <w:t>Die Klassifikation kombiniert drei Kriterien: erstens muss FGFR2 der beste unterstützte Paralog sein, zweitens muss die Coverage ausreichend hoch sein, und drittens muss der Abstand zum nächstbesten Paralog eine vordefinierte Schwelle überschreiten. Die exakten Grenzwerte sind im Skript parametrisierbar und werden im run_metadata-Output dokumentiert.</w:t>
      </w:r>
    </w:p>
    <w:tbl>
      <w:tblPr>
        <w:tblStyle w:val="TableGrid"/>
        <w:tblW w:type="auto" w:w="0"/>
        <w:jc w:val="center"/>
        <w:tblLook w:firstColumn="1" w:firstRow="1" w:lastColumn="0" w:lastRow="0" w:noHBand="0" w:noVBand="1" w:val="04A0"/>
      </w:tblPr>
      <w:tblGrid>
        <w:gridCol w:w="4788"/>
        <w:gridCol w:w="4788"/>
      </w:tblGrid>
      <w:tr>
        <w:tc>
          <w:tcPr>
            <w:tcW w:type="dxa" w:w="3118"/>
            <w:vAlign w:val="center"/>
            <w:shd w:fill="D9EAF7"/>
          </w:tcPr>
          <w:p>
            <w:r/>
            <w:r>
              <w:rPr>
                <w:b/>
                <w:sz w:val="18"/>
              </w:rPr>
              <w:t>Statusklasse</w:t>
            </w:r>
          </w:p>
        </w:tc>
        <w:tc>
          <w:tcPr>
            <w:tcW w:type="dxa" w:w="5953"/>
            <w:vAlign w:val="center"/>
            <w:shd w:fill="D9EAF7"/>
          </w:tcPr>
          <w:p>
            <w:r/>
            <w:r>
              <w:rPr>
                <w:b/>
                <w:sz w:val="18"/>
              </w:rPr>
              <w:t>Interpretation</w:t>
            </w:r>
          </w:p>
        </w:tc>
      </w:tr>
      <w:tr>
        <w:tc>
          <w:tcPr>
            <w:tcW w:type="dxa" w:w="3118"/>
            <w:vAlign w:val="center"/>
          </w:tcPr>
          <w:p>
            <w:r/>
            <w:r>
              <w:rPr>
                <w:b w:val="0"/>
                <w:sz w:val="18"/>
              </w:rPr>
              <w:t>high_confidence_FGFR2</w:t>
            </w:r>
          </w:p>
        </w:tc>
        <w:tc>
          <w:tcPr>
            <w:tcW w:type="dxa" w:w="5953"/>
            <w:vAlign w:val="center"/>
          </w:tcPr>
          <w:p>
            <w:r/>
            <w:r>
              <w:rPr>
                <w:b w:val="0"/>
                <w:sz w:val="18"/>
              </w:rPr>
              <w:t>FGFR2 ist bester Paralog, Coverage und Prozentidentität sind hoch, und der Abstand zum nächstbesten Paralog ist klar.</w:t>
            </w:r>
          </w:p>
        </w:tc>
      </w:tr>
      <w:tr>
        <w:tc>
          <w:tcPr>
            <w:tcW w:type="dxa" w:w="3118"/>
            <w:vAlign w:val="center"/>
          </w:tcPr>
          <w:p>
            <w:r/>
            <w:r>
              <w:rPr>
                <w:b w:val="0"/>
                <w:sz w:val="18"/>
              </w:rPr>
              <w:t>probable_FGFR2</w:t>
            </w:r>
          </w:p>
        </w:tc>
        <w:tc>
          <w:tcPr>
            <w:tcW w:type="dxa" w:w="5953"/>
            <w:vAlign w:val="center"/>
          </w:tcPr>
          <w:p>
            <w:r/>
            <w:r>
              <w:rPr>
                <w:b w:val="0"/>
                <w:sz w:val="18"/>
              </w:rPr>
              <w:t>FGFR2 ist bester Paralog, aber mindestens ein Robustheitskriterium ist schwächer.</w:t>
            </w:r>
          </w:p>
        </w:tc>
      </w:tr>
      <w:tr>
        <w:tc>
          <w:tcPr>
            <w:tcW w:type="dxa" w:w="3118"/>
            <w:vAlign w:val="center"/>
          </w:tcPr>
          <w:p>
            <w:r/>
            <w:r>
              <w:rPr>
                <w:b w:val="0"/>
                <w:sz w:val="18"/>
              </w:rPr>
              <w:t>FGFR2_best_hit_but_low_margin</w:t>
            </w:r>
          </w:p>
        </w:tc>
        <w:tc>
          <w:tcPr>
            <w:tcW w:type="dxa" w:w="5953"/>
            <w:vAlign w:val="center"/>
          </w:tcPr>
          <w:p>
            <w:r/>
            <w:r>
              <w:rPr>
                <w:b w:val="0"/>
                <w:sz w:val="18"/>
              </w:rPr>
              <w:t>FGFR2 ist zwar bester Treffer, aber der Abstand zu FGFR1/3/4 ist klein; der Kandidat sollte markiert werden.</w:t>
            </w:r>
          </w:p>
        </w:tc>
      </w:tr>
      <w:tr>
        <w:tc>
          <w:tcPr>
            <w:tcW w:type="dxa" w:w="3118"/>
            <w:vAlign w:val="center"/>
          </w:tcPr>
          <w:p>
            <w:r/>
            <w:r>
              <w:rPr>
                <w:b w:val="0"/>
                <w:sz w:val="18"/>
              </w:rPr>
              <w:t>ambiguous_fgfr_family_member</w:t>
            </w:r>
          </w:p>
        </w:tc>
        <w:tc>
          <w:tcPr>
            <w:tcW w:type="dxa" w:w="5953"/>
            <w:vAlign w:val="center"/>
          </w:tcPr>
          <w:p>
            <w:r/>
            <w:r>
              <w:rPr>
                <w:b w:val="0"/>
                <w:sz w:val="18"/>
              </w:rPr>
              <w:t>Die Sequenz passt zur FGFR-Familie, aber die Paralogzuordnung ist nicht eindeutig.</w:t>
            </w:r>
          </w:p>
        </w:tc>
      </w:tr>
      <w:tr>
        <w:tc>
          <w:tcPr>
            <w:tcW w:type="dxa" w:w="3118"/>
            <w:vAlign w:val="center"/>
          </w:tcPr>
          <w:p>
            <w:r/>
            <w:r>
              <w:rPr>
                <w:b w:val="0"/>
                <w:sz w:val="18"/>
              </w:rPr>
              <w:t>possible_paralog_misassignment</w:t>
            </w:r>
          </w:p>
        </w:tc>
        <w:tc>
          <w:tcPr>
            <w:tcW w:type="dxa" w:w="5953"/>
            <w:vAlign w:val="center"/>
          </w:tcPr>
          <w:p>
            <w:r/>
            <w:r>
              <w:rPr>
                <w:b w:val="0"/>
                <w:sz w:val="18"/>
              </w:rPr>
              <w:t>Ein anderer Paralog als FGFR2 ist der beste Treffer.</w:t>
            </w:r>
          </w:p>
        </w:tc>
      </w:tr>
      <w:tr>
        <w:tc>
          <w:tcPr>
            <w:tcW w:type="dxa" w:w="3118"/>
            <w:vAlign w:val="center"/>
          </w:tcPr>
          <w:p>
            <w:r/>
            <w:r>
              <w:rPr>
                <w:b w:val="0"/>
                <w:sz w:val="18"/>
              </w:rPr>
              <w:t>insufficient_sequence_similarity</w:t>
            </w:r>
          </w:p>
        </w:tc>
        <w:tc>
          <w:tcPr>
            <w:tcW w:type="dxa" w:w="5953"/>
            <w:vAlign w:val="center"/>
          </w:tcPr>
          <w:p>
            <w:r/>
            <w:r>
              <w:rPr>
                <w:b w:val="0"/>
                <w:sz w:val="18"/>
              </w:rPr>
              <w:t>Die Sequenz zeigt zu geringe Coverage oder Identität für eine belastbare Entscheidung.</w:t>
            </w:r>
          </w:p>
        </w:tc>
      </w:tr>
      <w:tr>
        <w:tc>
          <w:tcPr>
            <w:tcW w:type="dxa" w:w="3118"/>
            <w:vAlign w:val="center"/>
          </w:tcPr>
          <w:p>
            <w:r/>
            <w:r>
              <w:rPr>
                <w:b w:val="0"/>
                <w:sz w:val="18"/>
              </w:rPr>
              <w:t>no_detectable_fgfr_similarity</w:t>
            </w:r>
          </w:p>
        </w:tc>
        <w:tc>
          <w:tcPr>
            <w:tcW w:type="dxa" w:w="5953"/>
            <w:vAlign w:val="center"/>
          </w:tcPr>
          <w:p>
            <w:r/>
            <w:r>
              <w:rPr>
                <w:b w:val="0"/>
                <w:sz w:val="18"/>
              </w:rPr>
              <w:t>Kein plausibler FGFR-ähnlicher Treffer wurde gefunden.</w:t>
            </w:r>
          </w:p>
        </w:tc>
      </w:tr>
    </w:tbl>
    <w:p/>
    <w:p>
      <w:pPr>
        <w:pStyle w:val="Heading2"/>
      </w:pPr>
      <w:r>
        <w:t>5.4 Reciprocal Panel Consistency Test</w:t>
      </w:r>
    </w:p>
    <w:p>
      <w:r>
        <w:t>Optional wird eine Gegenrichtungsprüfung durchgeführt. Dabei werden die FGFR1–FGFR4-Referenzsequenzen gegen die exportierten Kandidatenproteine gesucht. Für jede Species wird geprüft, ob die stärkste Unterstützung konsistent bei den erwarteten FGFR2-Kandidaten liegt. Dieser Schritt ist keine vollständige phylogenetische Orthologieanalyse, erhöht aber die Robustheit gegenüber einseitigen Best-Hit-Artefakten und entspricht der Logik bidirektionaler Best-Hit-Näherungen [4,5].</w:t>
      </w:r>
    </w:p>
    <w:p>
      <w:pPr>
        <w:pStyle w:val="Heading2"/>
      </w:pPr>
      <w:r>
        <w:t>5.5 Reproduzierbarkeit</w:t>
      </w:r>
    </w:p>
    <w:p>
      <w:r>
        <w:t>Der Schritt schreibt neben Tabellen und Plots eine Metadatendatei mit Parametern, Zeitstempel, verwendeten FASTA-Dateien und Klassifikationsschwellen. Dadurch kann der Lauf später nachvollzogen und mit geänderten Referenzpanels oder Thresholds reproduziert werden.</w:t>
      </w:r>
    </w:p>
    <w:p>
      <w:pPr>
        <w:pStyle w:val="Heading1"/>
      </w:pPr>
      <w:r>
        <w:t>6. Wissenschaftliche Visualisierungen</w:t>
      </w:r>
    </w:p>
    <w:p>
      <w:r>
        <w:t>Die Plot-Ausgaben sind nicht nur dekorativ, sondern dienen als Qualitätssicherungs- und Interpretationsschicht. Sie können direkt in der Bachelorarbeit und im Framework verwendet werden.</w:t>
      </w:r>
    </w:p>
    <w:tbl>
      <w:tblPr>
        <w:tblStyle w:val="TableGrid"/>
        <w:tblW w:type="auto" w:w="0"/>
        <w:jc w:val="center"/>
        <w:tblLook w:firstColumn="1" w:firstRow="1" w:lastColumn="0" w:lastRow="0" w:noHBand="0" w:noVBand="1" w:val="04A0"/>
      </w:tblPr>
      <w:tblGrid>
        <w:gridCol w:w="4788"/>
        <w:gridCol w:w="4788"/>
      </w:tblGrid>
      <w:tr>
        <w:tc>
          <w:tcPr>
            <w:tcW w:type="dxa" w:w="3515"/>
            <w:vAlign w:val="center"/>
            <w:shd w:fill="D9EAF7"/>
          </w:tcPr>
          <w:p>
            <w:r/>
            <w:r>
              <w:rPr>
                <w:b/>
                <w:sz w:val="18"/>
              </w:rPr>
              <w:t>Plot</w:t>
            </w:r>
          </w:p>
        </w:tc>
        <w:tc>
          <w:tcPr>
            <w:tcW w:type="dxa" w:w="5556"/>
            <w:vAlign w:val="center"/>
            <w:shd w:fill="D9EAF7"/>
          </w:tcPr>
          <w:p>
            <w:r/>
            <w:r>
              <w:rPr>
                <w:b/>
                <w:sz w:val="18"/>
              </w:rPr>
              <w:t>Wissenschaftliche Aussage</w:t>
            </w:r>
          </w:p>
        </w:tc>
      </w:tr>
      <w:tr>
        <w:tc>
          <w:tcPr>
            <w:tcW w:type="dxa" w:w="3515"/>
            <w:vAlign w:val="center"/>
          </w:tcPr>
          <w:p>
            <w:r/>
            <w:r>
              <w:rPr>
                <w:b w:val="0"/>
                <w:sz w:val="18"/>
              </w:rPr>
              <w:t>fgfr2_orthology_margin_scatter.pdf</w:t>
            </w:r>
          </w:p>
        </w:tc>
        <w:tc>
          <w:tcPr>
            <w:tcW w:type="dxa" w:w="5556"/>
            <w:vAlign w:val="center"/>
          </w:tcPr>
          <w:p>
            <w:r/>
            <w:r>
              <w:rPr>
                <w:b w:val="0"/>
                <w:sz w:val="18"/>
              </w:rPr>
              <w:t>Protein-Level-Übersicht: Kandidaten mit hoher Coverage und hohem FGFR2-Paralog-Abstand sind besonders robust.</w:t>
            </w:r>
          </w:p>
        </w:tc>
      </w:tr>
      <w:tr>
        <w:tc>
          <w:tcPr>
            <w:tcW w:type="dxa" w:w="3515"/>
            <w:vAlign w:val="center"/>
          </w:tcPr>
          <w:p>
            <w:r/>
            <w:r>
              <w:rPr>
                <w:b w:val="0"/>
                <w:sz w:val="18"/>
              </w:rPr>
              <w:t>fgfr2_species_min_margin_plot.pdf</w:t>
            </w:r>
          </w:p>
        </w:tc>
        <w:tc>
          <w:tcPr>
            <w:tcW w:type="dxa" w:w="5556"/>
            <w:vAlign w:val="center"/>
          </w:tcPr>
          <w:p>
            <w:r/>
            <w:r>
              <w:rPr>
                <w:b w:val="0"/>
                <w:sz w:val="18"/>
              </w:rPr>
              <w:t>Species-Level-Robustheit: zeigt die niedrigste FGFR2-Margin pro Species und identifiziert Grenzfälle.</w:t>
            </w:r>
          </w:p>
        </w:tc>
      </w:tr>
      <w:tr>
        <w:tc>
          <w:tcPr>
            <w:tcW w:type="dxa" w:w="3515"/>
            <w:vAlign w:val="center"/>
          </w:tcPr>
          <w:p>
            <w:r/>
            <w:r>
              <w:rPr>
                <w:b w:val="0"/>
                <w:sz w:val="18"/>
              </w:rPr>
              <w:t>fgfr2_paralog_score_heatmap.pdf</w:t>
            </w:r>
          </w:p>
        </w:tc>
        <w:tc>
          <w:tcPr>
            <w:tcW w:type="dxa" w:w="5556"/>
            <w:vAlign w:val="center"/>
          </w:tcPr>
          <w:p>
            <w:r/>
            <w:r>
              <w:rPr>
                <w:b w:val="0"/>
                <w:sz w:val="18"/>
              </w:rPr>
              <w:t>Relative Unterstützung pro Kandidat gegen FGFR1–FGFR4; ideal, um visuell zu zeigen, dass FGFR2 dominiert.</w:t>
            </w:r>
          </w:p>
        </w:tc>
      </w:tr>
      <w:tr>
        <w:tc>
          <w:tcPr>
            <w:tcW w:type="dxa" w:w="3515"/>
            <w:vAlign w:val="center"/>
          </w:tcPr>
          <w:p>
            <w:r/>
            <w:r>
              <w:rPr>
                <w:b w:val="0"/>
                <w:sz w:val="18"/>
              </w:rPr>
              <w:t>fgfr2_species_coverage_vs_margin.pdf</w:t>
            </w:r>
          </w:p>
        </w:tc>
        <w:tc>
          <w:tcPr>
            <w:tcW w:type="dxa" w:w="5556"/>
            <w:vAlign w:val="center"/>
          </w:tcPr>
          <w:p>
            <w:r/>
            <w:r>
              <w:rPr>
                <w:b w:val="0"/>
                <w:sz w:val="18"/>
              </w:rPr>
              <w:t>Kombiniert Sequenzvollständigkeit und Paralogtrennung auf Species-Ebene.</w:t>
            </w:r>
          </w:p>
        </w:tc>
      </w:tr>
      <w:tr>
        <w:tc>
          <w:tcPr>
            <w:tcW w:type="dxa" w:w="3515"/>
            <w:vAlign w:val="center"/>
          </w:tcPr>
          <w:p>
            <w:r/>
            <w:r>
              <w:rPr>
                <w:b w:val="0"/>
                <w:sz w:val="18"/>
              </w:rPr>
              <w:t>fgfr2_margin_distribution.pdf</w:t>
            </w:r>
          </w:p>
        </w:tc>
        <w:tc>
          <w:tcPr>
            <w:tcW w:type="dxa" w:w="5556"/>
            <w:vAlign w:val="center"/>
          </w:tcPr>
          <w:p>
            <w:r/>
            <w:r>
              <w:rPr>
                <w:b w:val="0"/>
                <w:sz w:val="18"/>
              </w:rPr>
              <w:t>Verteilung der FGFR2-Margins über alle Kandidaten; zeigt, ob die Trennung global stark oder grenzwertig ist.</w:t>
            </w:r>
          </w:p>
        </w:tc>
      </w:tr>
      <w:tr>
        <w:tc>
          <w:tcPr>
            <w:tcW w:type="dxa" w:w="3515"/>
            <w:vAlign w:val="center"/>
          </w:tcPr>
          <w:p>
            <w:r/>
            <w:r>
              <w:rPr>
                <w:b w:val="0"/>
                <w:sz w:val="18"/>
              </w:rPr>
              <w:t>fgfr2_next_best_paralog_counts.pdf</w:t>
            </w:r>
          </w:p>
        </w:tc>
        <w:tc>
          <w:tcPr>
            <w:tcW w:type="dxa" w:w="5556"/>
            <w:vAlign w:val="center"/>
          </w:tcPr>
          <w:p>
            <w:r/>
            <w:r>
              <w:rPr>
                <w:b w:val="0"/>
                <w:sz w:val="18"/>
              </w:rPr>
              <w:t>Zeigt, welcher FGFR-Paralog der wichtigste Konkurrent ist; bei FGFR2 häufig FGFR1.</w:t>
            </w:r>
          </w:p>
        </w:tc>
      </w:tr>
      <w:tr>
        <w:tc>
          <w:tcPr>
            <w:tcW w:type="dxa" w:w="3515"/>
            <w:vAlign w:val="center"/>
          </w:tcPr>
          <w:p>
            <w:r/>
            <w:r>
              <w:rPr>
                <w:b w:val="0"/>
                <w:sz w:val="18"/>
              </w:rPr>
              <w:t>fgfr2_paralog_support_projection.pdf</w:t>
            </w:r>
          </w:p>
        </w:tc>
        <w:tc>
          <w:tcPr>
            <w:tcW w:type="dxa" w:w="5556"/>
            <w:vAlign w:val="center"/>
          </w:tcPr>
          <w:p>
            <w:r/>
            <w:r>
              <w:rPr>
                <w:b w:val="0"/>
                <w:sz w:val="18"/>
              </w:rPr>
              <w:t>Zweidimensionale Projektion der relativen FGFR1–4-Unterstützung; nützlich als explorative QC-Grafik.</w:t>
            </w:r>
          </w:p>
        </w:tc>
      </w:tr>
      <w:tr>
        <w:tc>
          <w:tcPr>
            <w:tcW w:type="dxa" w:w="3515"/>
            <w:vAlign w:val="center"/>
          </w:tcPr>
          <w:p>
            <w:r/>
            <w:r>
              <w:rPr>
                <w:b w:val="0"/>
                <w:sz w:val="18"/>
              </w:rPr>
              <w:t>fgfr2_reciprocal_species_margin_plot.pdf</w:t>
            </w:r>
          </w:p>
        </w:tc>
        <w:tc>
          <w:tcPr>
            <w:tcW w:type="dxa" w:w="5556"/>
            <w:vAlign w:val="center"/>
          </w:tcPr>
          <w:p>
            <w:r/>
            <w:r>
              <w:rPr>
                <w:b w:val="0"/>
                <w:sz w:val="18"/>
              </w:rPr>
              <w:t>Nur bei aktiviertem reciprocal test: zeigt die Gegenrichtungsunterstützung pro Species.</w:t>
            </w:r>
          </w:p>
        </w:tc>
      </w:tr>
    </w:tbl>
    <w:p/>
    <w:p>
      <w:pPr>
        <w:pStyle w:val="Heading1"/>
      </w:pPr>
      <w:r>
        <w:t>7. Ergebnisinterpretation des aktuellen Laufs</w:t>
      </w:r>
    </w:p>
    <w:p>
      <w:r>
        <w:t>Im aktuellen Testlauf wurden 90 exportierte Kandidatenproteine analysiert. Alle 90 Sequenzen wurden als high_confidence_FGFR2 klassifiziert. Damit zeigt der Schritt, dass die ausgewählten Proteinmodelle innerhalb des verwendeten FGFR1–FGFR4-Referenzpanels konsistent am stärksten mit FGFR2 vereinbar sind. Die häufige Identifikation von FGFR1 als nächstbestem Paralog ist biologisch plausibel, da FGFR1 und FGFR2 innerhalb derselben Rezeptorfamilie eng verwandt sind.</w:t>
      </w:r>
    </w:p>
    <w:p>
      <w:r>
        <w:t>Für die weitere Pipeline bedeutet dies: Die nachfolgenden Analysen der IIIb/IIIc-assoziierten Region und der Exon-Domain-Grenzen sind in diesem Datensatz wahrscheinlich nicht durch eine grobe FGFR-Paralog-Verwechslung verzerrt. Trotzdem ersetzt dieser Schritt keine vollständige phylogenetische Rekonstruktion; er dokumentiert eine robuste, reproduzierbare Vorabprüfung.</w:t>
      </w:r>
    </w:p>
    <w:p>
      <w:pPr>
        <w:pStyle w:val="Heading1"/>
      </w:pPr>
      <w:r>
        <w:t>8. Integration in das Framework</w:t>
      </w:r>
    </w:p>
    <w:p>
      <w:r>
        <w:t>Für das Visualisierungsframework sollten die Statusinformationen aus fgfr2_orthology_validation.tsv und fgfr2_orthology_species_summary.tsv direkt als QC-Marker übernommen werden. Dadurch werden exon- und domainbezogene Darstellungen nicht isoliert gezeigt, sondern zusammen mit der Vertrauenswürdigkeit des zugrundeliegenden Proteinmodells.</w:t>
      </w:r>
    </w:p>
    <w:tbl>
      <w:tblPr>
        <w:tblStyle w:val="TableGrid"/>
        <w:tblW w:type="auto" w:w="0"/>
        <w:jc w:val="center"/>
        <w:tblLook w:firstColumn="1" w:firstRow="1" w:lastColumn="0" w:lastRow="0" w:noHBand="0" w:noVBand="1" w:val="04A0"/>
      </w:tblPr>
      <w:tblGrid>
        <w:gridCol w:w="4788"/>
        <w:gridCol w:w="4788"/>
      </w:tblGrid>
      <w:tr>
        <w:tc>
          <w:tcPr>
            <w:tcW w:type="dxa" w:w="3118"/>
            <w:vAlign w:val="center"/>
            <w:shd w:fill="D9EAF7"/>
          </w:tcPr>
          <w:p>
            <w:r/>
            <w:r>
              <w:rPr>
                <w:b/>
                <w:sz w:val="18"/>
              </w:rPr>
              <w:t>Framework-Feld</w:t>
            </w:r>
          </w:p>
        </w:tc>
        <w:tc>
          <w:tcPr>
            <w:tcW w:type="dxa" w:w="5953"/>
            <w:vAlign w:val="center"/>
            <w:shd w:fill="D9EAF7"/>
          </w:tcPr>
          <w:p>
            <w:r/>
            <w:r>
              <w:rPr>
                <w:b/>
                <w:sz w:val="18"/>
              </w:rPr>
              <w:t>Verwendung</w:t>
            </w:r>
          </w:p>
        </w:tc>
      </w:tr>
      <w:tr>
        <w:tc>
          <w:tcPr>
            <w:tcW w:type="dxa" w:w="3118"/>
            <w:vAlign w:val="center"/>
          </w:tcPr>
          <w:p>
            <w:r/>
            <w:r>
              <w:rPr>
                <w:b w:val="0"/>
                <w:sz w:val="18"/>
              </w:rPr>
              <w:t>orthology_status</w:t>
            </w:r>
          </w:p>
        </w:tc>
        <w:tc>
          <w:tcPr>
            <w:tcW w:type="dxa" w:w="5953"/>
            <w:vAlign w:val="center"/>
          </w:tcPr>
          <w:p>
            <w:r/>
            <w:r>
              <w:rPr>
                <w:b w:val="0"/>
                <w:sz w:val="18"/>
              </w:rPr>
              <w:t>Farbcodierter QC-Badge pro Protein oder Transkript.</w:t>
            </w:r>
          </w:p>
        </w:tc>
      </w:tr>
      <w:tr>
        <w:tc>
          <w:tcPr>
            <w:tcW w:type="dxa" w:w="3118"/>
            <w:vAlign w:val="center"/>
          </w:tcPr>
          <w:p>
            <w:r/>
            <w:r>
              <w:rPr>
                <w:b w:val="0"/>
                <w:sz w:val="18"/>
              </w:rPr>
              <w:t>score_margin_fraction</w:t>
            </w:r>
          </w:p>
        </w:tc>
        <w:tc>
          <w:tcPr>
            <w:tcW w:type="dxa" w:w="5953"/>
            <w:vAlign w:val="center"/>
          </w:tcPr>
          <w:p>
            <w:r/>
            <w:r>
              <w:rPr>
                <w:b w:val="0"/>
                <w:sz w:val="18"/>
              </w:rPr>
              <w:t>Numerische Robustheitsanzeige für die Trennung von FGFR2 gegenüber anderen FGFR-Paralogen.</w:t>
            </w:r>
          </w:p>
        </w:tc>
      </w:tr>
      <w:tr>
        <w:tc>
          <w:tcPr>
            <w:tcW w:type="dxa" w:w="3118"/>
            <w:vAlign w:val="center"/>
          </w:tcPr>
          <w:p>
            <w:r/>
            <w:r>
              <w:rPr>
                <w:b w:val="0"/>
                <w:sz w:val="18"/>
              </w:rPr>
              <w:t>best_query_coverage</w:t>
            </w:r>
          </w:p>
        </w:tc>
        <w:tc>
          <w:tcPr>
            <w:tcW w:type="dxa" w:w="5953"/>
            <w:vAlign w:val="center"/>
          </w:tcPr>
          <w:p>
            <w:r/>
            <w:r>
              <w:rPr>
                <w:b w:val="0"/>
                <w:sz w:val="18"/>
              </w:rPr>
              <w:t>Hinweis auf mögliche Fragmentierung oder unvollständige Proteine.</w:t>
            </w:r>
          </w:p>
        </w:tc>
      </w:tr>
      <w:tr>
        <w:tc>
          <w:tcPr>
            <w:tcW w:type="dxa" w:w="3118"/>
            <w:vAlign w:val="center"/>
          </w:tcPr>
          <w:p>
            <w:r/>
            <w:r>
              <w:rPr>
                <w:b w:val="0"/>
                <w:sz w:val="18"/>
              </w:rPr>
              <w:t>second_ref_gene</w:t>
            </w:r>
          </w:p>
        </w:tc>
        <w:tc>
          <w:tcPr>
            <w:tcW w:type="dxa" w:w="5953"/>
            <w:vAlign w:val="center"/>
          </w:tcPr>
          <w:p>
            <w:r/>
            <w:r>
              <w:rPr>
                <w:b w:val="0"/>
                <w:sz w:val="18"/>
              </w:rPr>
              <w:t>Anzeige des nächstbesten konkurrierenden Paralogs.</w:t>
            </w:r>
          </w:p>
        </w:tc>
      </w:tr>
      <w:tr>
        <w:tc>
          <w:tcPr>
            <w:tcW w:type="dxa" w:w="3118"/>
            <w:vAlign w:val="center"/>
          </w:tcPr>
          <w:p>
            <w:r/>
            <w:r>
              <w:rPr>
                <w:b w:val="0"/>
                <w:sz w:val="18"/>
              </w:rPr>
              <w:t>primary_analysis_recommendation</w:t>
            </w:r>
          </w:p>
        </w:tc>
        <w:tc>
          <w:tcPr>
            <w:tcW w:type="dxa" w:w="5953"/>
            <w:vAlign w:val="center"/>
          </w:tcPr>
          <w:p>
            <w:r/>
            <w:r>
              <w:rPr>
                <w:b w:val="0"/>
                <w:sz w:val="18"/>
              </w:rPr>
              <w:t>Automatische Entscheidung, ob ein Modell primär analysiert, mit Warnung behalten oder ausgeschlossen werden sollte.</w:t>
            </w:r>
          </w:p>
        </w:tc>
      </w:tr>
      <w:tr>
        <w:tc>
          <w:tcPr>
            <w:tcW w:type="dxa" w:w="3118"/>
            <w:vAlign w:val="center"/>
          </w:tcPr>
          <w:p>
            <w:r/>
            <w:r>
              <w:rPr>
                <w:b w:val="0"/>
                <w:sz w:val="18"/>
              </w:rPr>
              <w:t>species_orthology_status</w:t>
            </w:r>
          </w:p>
        </w:tc>
        <w:tc>
          <w:tcPr>
            <w:tcW w:type="dxa" w:w="5953"/>
            <w:vAlign w:val="center"/>
          </w:tcPr>
          <w:p>
            <w:r/>
            <w:r>
              <w:rPr>
                <w:b w:val="0"/>
                <w:sz w:val="18"/>
              </w:rPr>
              <w:t>Zusammenfassende Markierung pro Species in Multi-Species-Plots.</w:t>
            </w:r>
          </w:p>
        </w:tc>
      </w:tr>
    </w:tbl>
    <w:p/>
    <w:p>
      <w:pPr>
        <w:pStyle w:val="Heading1"/>
      </w:pPr>
      <w:r>
        <w:t>9. Limitierungen</w:t>
      </w:r>
    </w:p>
    <w:p>
      <w:pPr>
        <w:pStyle w:val="ListBullet"/>
      </w:pPr>
      <w:r>
        <w:t>BLASTP-basierte Ähnlichkeit ist eine starke Plausibilitätsprüfung, aber kein vollständiger phylogenetischer Orthologienachweis.</w:t>
      </w:r>
    </w:p>
    <w:p>
      <w:pPr>
        <w:pStyle w:val="ListBullet"/>
      </w:pPr>
      <w:r>
        <w:t>Ein human-only Referenzpanel ist für Tests ausreichend, kann aber bei entfernten Vertebraten Referenzspezies-Bias erzeugen. Für die finale Analyse ist ein Multi-Vertebrate-Panel vorzuziehen.</w:t>
      </w:r>
    </w:p>
    <w:p>
      <w:pPr>
        <w:pStyle w:val="ListBullet"/>
      </w:pPr>
      <w:r>
        <w:t>Hohe Sequenzähnlichkeit kann durch konservierte Domänenarchitektur beeinflusst werden. Deshalb werden Score-Margin, Coverage und Prozentidentität gemeinsam bewertet.</w:t>
      </w:r>
    </w:p>
    <w:p>
      <w:pPr>
        <w:pStyle w:val="ListBullet"/>
      </w:pPr>
      <w:r>
        <w:t>Der reciprocal panel consistency test ist eine zusätzliche Robustheitsschicht, ersetzt aber keine vollständige OrthoFinder-, syntenie- oder genbaumgestützte Analyse.</w:t>
      </w:r>
    </w:p>
    <w:p>
      <w:pPr>
        <w:pStyle w:val="ListBullet"/>
      </w:pPr>
      <w:r>
        <w:t>Datenbankeinträge und Sequenzen können sich über die Zeit ändern; verwendete Referenzzugänge, Downloadzeitpunkte und Skriptparameter sollten dokumentiert werden.</w:t>
      </w:r>
    </w:p>
    <w:p>
      <w:pPr>
        <w:pStyle w:val="Heading1"/>
      </w:pPr>
      <w:r>
        <w:t>10. Direkt verwendbarer Methodentext</w:t>
      </w:r>
    </w:p>
    <w:p>
      <w:r>
        <w:t>Vorschlag für den Methodenteil:</w:t>
      </w:r>
    </w:p>
    <w:p>
      <w:r>
        <w:t>Zur Kontrolle möglicher Paralog-Verwechslungen innerhalb der FGFR-Genfamilie wurden alle exportierten FGFR2-Kandidatenproteine mit einem kuratierten FGFR1–FGFR4-Referenzpanel verglichen. Die Sequenzsuche erfolgte mit BLASTP aus den BLAST+-Kommandozeilenwerkzeugen. Für jedes Kandidatenprotein wurden die besten Treffer pro FGFR-Paralog extrahiert und anhand von Bitscore, Query Coverage, Prozentidentität und relativem Abstand zum nächstbesten Paralog bewertet. Ein Kandidat wurde als high-confidence FGFR2 klassifiziert, wenn FGFR2 der bestunterstützte Paralog war und die definierten Mindestkriterien für Coverage, Sequenzidentität und Bitscore-Margin erfüllte. Kandidaten mit geringer Margin, unzureichender Coverage oder besserer Unterstützung für FGFR1, FGFR3 oder FGFR4 wurden als unsichere Fälle markiert und für nachfolgende Analysen entsprechend gekennzeichnet. Zusätzlich wurde optional ein reciprocal panel consistency test durchgeführt, bei dem die FGFR-Referenzsequenzen in Gegenrichtung gegen die exportierten Kandidatenproteine gesucht wurden. Die Ergebnisse wurden auf Protein- und Species-Ebene zusammengefasst und durch Margin-Scatterplots, Paralog-Support-Heatmaps und Species-Level-Robustheitsplots visualisiert.</w:t>
      </w:r>
    </w:p>
    <w:p>
      <w:pPr>
        <w:pStyle w:val="Heading1"/>
      </w:pPr>
      <w:r>
        <w:t>11. Empfohlene Abbildungslegenden</w:t>
      </w:r>
    </w:p>
    <w:tbl>
      <w:tblPr>
        <w:tblStyle w:val="TableGrid"/>
        <w:tblW w:type="auto" w:w="0"/>
        <w:jc w:val="center"/>
        <w:tblLook w:firstColumn="1" w:firstRow="1" w:lastColumn="0" w:lastRow="0" w:noHBand="0" w:noVBand="1" w:val="04A0"/>
      </w:tblPr>
      <w:tblGrid>
        <w:gridCol w:w="4788"/>
        <w:gridCol w:w="4788"/>
      </w:tblGrid>
      <w:tr>
        <w:tc>
          <w:tcPr>
            <w:tcW w:type="dxa" w:w="2835"/>
            <w:vAlign w:val="center"/>
            <w:shd w:fill="D9EAF7"/>
          </w:tcPr>
          <w:p>
            <w:r/>
            <w:r>
              <w:rPr>
                <w:b/>
                <w:sz w:val="18"/>
              </w:rPr>
              <w:t>Abbildung</w:t>
            </w:r>
          </w:p>
        </w:tc>
        <w:tc>
          <w:tcPr>
            <w:tcW w:type="dxa" w:w="6236"/>
            <w:vAlign w:val="center"/>
            <w:shd w:fill="D9EAF7"/>
          </w:tcPr>
          <w:p>
            <w:r/>
            <w:r>
              <w:rPr>
                <w:b/>
                <w:sz w:val="18"/>
              </w:rPr>
              <w:t>Legendentext</w:t>
            </w:r>
          </w:p>
        </w:tc>
      </w:tr>
      <w:tr>
        <w:tc>
          <w:tcPr>
            <w:tcW w:type="dxa" w:w="2835"/>
            <w:vAlign w:val="center"/>
          </w:tcPr>
          <w:p>
            <w:r/>
            <w:r>
              <w:rPr>
                <w:b w:val="0"/>
                <w:sz w:val="18"/>
              </w:rPr>
              <w:t>Orthology margin scatter</w:t>
            </w:r>
          </w:p>
        </w:tc>
        <w:tc>
          <w:tcPr>
            <w:tcW w:type="dxa" w:w="6236"/>
            <w:vAlign w:val="center"/>
          </w:tcPr>
          <w:p>
            <w:r/>
            <w:r>
              <w:rPr>
                <w:b w:val="0"/>
                <w:sz w:val="18"/>
              </w:rPr>
              <w:t>Protein-level validation of selected FGFR2 candidates against an FGFR1–FGFR4 paralog reference panel. Each point represents one candidate protein. The x-axis shows query coverage of the best hit, and the y-axis shows the relative bitscore margin between FGFR2 and the next-best FGFR paralog.</w:t>
            </w:r>
          </w:p>
        </w:tc>
      </w:tr>
      <w:tr>
        <w:tc>
          <w:tcPr>
            <w:tcW w:type="dxa" w:w="2835"/>
            <w:vAlign w:val="center"/>
          </w:tcPr>
          <w:p>
            <w:r/>
            <w:r>
              <w:rPr>
                <w:b w:val="0"/>
                <w:sz w:val="18"/>
              </w:rPr>
              <w:t>Paralog support heatmap</w:t>
            </w:r>
          </w:p>
        </w:tc>
        <w:tc>
          <w:tcPr>
            <w:tcW w:type="dxa" w:w="6236"/>
            <w:vAlign w:val="center"/>
          </w:tcPr>
          <w:p>
            <w:r/>
            <w:r>
              <w:rPr>
                <w:b w:val="0"/>
                <w:sz w:val="18"/>
              </w:rPr>
              <w:t>Relative BLASTP bitscore support of each candidate protein against FGFR1, FGFR2, FGFR3 and FGFR4 references. Values are normalized per candidate so that the best-supported paralog has a relative score of 1.0.</w:t>
            </w:r>
          </w:p>
        </w:tc>
      </w:tr>
      <w:tr>
        <w:tc>
          <w:tcPr>
            <w:tcW w:type="dxa" w:w="2835"/>
            <w:vAlign w:val="center"/>
          </w:tcPr>
          <w:p>
            <w:r/>
            <w:r>
              <w:rPr>
                <w:b w:val="0"/>
                <w:sz w:val="18"/>
              </w:rPr>
              <w:t>Species min-margin plot</w:t>
            </w:r>
          </w:p>
        </w:tc>
        <w:tc>
          <w:tcPr>
            <w:tcW w:type="dxa" w:w="6236"/>
            <w:vAlign w:val="center"/>
          </w:tcPr>
          <w:p>
            <w:r/>
            <w:r>
              <w:rPr>
                <w:b w:val="0"/>
                <w:sz w:val="18"/>
              </w:rPr>
              <w:t>Species-level robustness of FGFR2 assignment. For each species, the lowest observed FGFR2 margin among exported protein candidates is shown. Higher values indicate stronger discrimination of FGFR2 from the closest competing FGFR paralog.</w:t>
            </w:r>
          </w:p>
        </w:tc>
      </w:tr>
      <w:tr>
        <w:tc>
          <w:tcPr>
            <w:tcW w:type="dxa" w:w="2835"/>
            <w:vAlign w:val="center"/>
          </w:tcPr>
          <w:p>
            <w:r/>
            <w:r>
              <w:rPr>
                <w:b w:val="0"/>
                <w:sz w:val="18"/>
              </w:rPr>
              <w:t>Coverage vs margin plot</w:t>
            </w:r>
          </w:p>
        </w:tc>
        <w:tc>
          <w:tcPr>
            <w:tcW w:type="dxa" w:w="6236"/>
            <w:vAlign w:val="center"/>
          </w:tcPr>
          <w:p>
            <w:r/>
            <w:r>
              <w:rPr>
                <w:b w:val="0"/>
                <w:sz w:val="18"/>
              </w:rPr>
              <w:t>Joint species-level quality-control plot showing the relationship between sequence coverage and paralog-discrimination margin. Species with low coverage or low margin can be treated as annotation-aware uncertainty cases.</w:t>
            </w:r>
          </w:p>
        </w:tc>
      </w:tr>
    </w:tbl>
    <w:p/>
    <w:p>
      <w:pPr>
        <w:pStyle w:val="Heading1"/>
      </w:pPr>
      <w:r>
        <w:t>12. Beispielaufruf</w:t>
      </w:r>
    </w:p>
    <w:p>
      <w:pPr>
        <w:ind w:left="283"/>
      </w:pPr>
      <w:r>
        <w:rPr>
          <w:rFonts w:ascii="Courier New" w:hAnsi="Courier New" w:eastAsia="Courier New"/>
          <w:sz w:val="18"/>
        </w:rPr>
        <w:t>python scripts/validate_fgfr2_orthology_and_paralogy.py \</w:t>
        <w:br/>
        <w:t xml:space="preserve">  --query_fasta results/final_30_until_interpro_prepare/06_protein_export/selected_fgfr2_proteins.faa \</w:t>
        <w:br/>
        <w:t xml:space="preserve">  --protein_report results/final_30_until_interpro_prepare/06_protein_export/protein_export_report.tsv \</w:t>
        <w:br/>
        <w:t xml:space="preserve">  --reference_fasta references/human_FGFR1_2_3_4.fasta \</w:t>
        <w:br/>
        <w:t xml:space="preserve">  --outdir results/final_30_until_interpro_prepare/06b_orthology_validation \</w:t>
        <w:br/>
        <w:t xml:space="preserve">  --prefix fgfr2 \</w:t>
        <w:br/>
        <w:t xml:space="preserve">  --threads 4 \</w:t>
        <w:br/>
        <w:t xml:space="preserve">  --reciprocal_panel_test</w:t>
      </w:r>
    </w:p>
    <w:p>
      <w:pPr>
        <w:pStyle w:val="Heading1"/>
      </w:pPr>
      <w:r>
        <w:t>13. Literatur</w:t>
      </w:r>
    </w:p>
    <w:p>
      <w:pPr>
        <w:pStyle w:val="ListNumber"/>
      </w:pPr>
      <w:r>
        <w:t>Altschul, S. F., Gish, W., Miller, W., Myers, E. W. &amp; Lipman, D. J. (1990). Basic local alignment search tool. Journal of Molecular Biology, 215(3), 403–410. doi:10.1016/S0022-2836(05)80360-2.</w:t>
      </w:r>
    </w:p>
    <w:p>
      <w:pPr>
        <w:pStyle w:val="ListNumber"/>
      </w:pPr>
      <w:r>
        <w:t>Camacho, C., Coulouris, G., Avagyan, V., Ma, N., Papadopoulos, J., Bealer, K. &amp; Madden, T. L. (2009). BLAST+: architecture and applications. BMC Bioinformatics, 10, 421. doi:10.1186/1471-2105-10-421.</w:t>
      </w:r>
    </w:p>
    <w:p>
      <w:pPr>
        <w:pStyle w:val="ListNumber"/>
      </w:pPr>
      <w:r>
        <w:t>NCBI. BLAST Command Line Applications User Manual. National Center for Biotechnology Information. Verwendet als technische Referenz für blastp, makeblastdb und reproduzierbare lokale BLAST+-Analysen.</w:t>
      </w:r>
    </w:p>
    <w:p>
      <w:pPr>
        <w:pStyle w:val="ListNumber"/>
      </w:pPr>
      <w:r>
        <w:t>Moreno-Hagelsieb, G. &amp; Latimer, K. (2008). Choosing BLAST options for better detection of orthologs as reciprocal best hits. Bioinformatics, 24(3), 319–324.</w:t>
      </w:r>
    </w:p>
    <w:p>
      <w:pPr>
        <w:pStyle w:val="ListNumber"/>
      </w:pPr>
      <w:r>
        <w:t>Ward, N. &amp; Moreno-Hagelsieb, G. (2014). Quickly finding orthologs as reciprocal best hits with BLAT, LAST, and UBLAST: how much do we miss? PLoS ONE, 9(7), e101850.</w:t>
      </w:r>
    </w:p>
    <w:p>
      <w:pPr>
        <w:pStyle w:val="ListNumber"/>
      </w:pPr>
      <w:r>
        <w:t>The UniProt Consortium. (2025). UniProt: the Universal Protein Knowledgebase in 2025. Nucleic Acids Research, 53(D1), D609–D617. doi:10.1093/nar/gkae1010.</w:t>
      </w:r>
    </w:p>
    <w:p>
      <w:pPr>
        <w:pStyle w:val="Heading1"/>
      </w:pPr>
      <w:r>
        <w:t>14. Kurzbewertung des Pipeline-Schritts</w:t>
      </w:r>
    </w:p>
    <w:p>
      <w:r>
        <w:t>Dieser Schritt ist für die Bachelorarbeit methodisch abgeschlossen. Er liefert eine unabhängige, sequenzbasierte Validierung der FGFR2-Kandidaten, dokumentiert Unsicherheit auf Protein- und Species-Ebene, erzeugt interpretierbare QC-Plots und stellt Framework-kompatible Statusklassen bereit. Der Schritt kann daher als abgeschlossene Orthologie-/Paralogie-QC-Schicht vor der InterPro- und IIIb/IIIc-Analyse verwendet werden.</w:t>
      </w:r>
    </w:p>
    <w:sectPr w:rsidR="00FC693F" w:rsidRPr="0006063C" w:rsidSect="00034616">
      <w:footerReference w:type="default" r:id="rId9"/>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Methodenbeschreibung: validate_fgfr2_orthology_and_paralogy.py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959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