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Bahnschrift SemiBold Condensed" w:hAnsi="Bahnschrift SemiBold Condensed" w:eastAsia="Bahnschrift SemiBold Condensed"/>
          <w:b/>
          <w:color w:val="3F454F"/>
          <w:sz w:val="52"/>
        </w:rPr>
        <w:t>Дизайн-система курса: сводка решений</w:t>
      </w:r>
    </w:p>
    <w:p>
      <w:pPr>
        <w:pStyle w:val="DesignNote"/>
      </w:pPr>
      <w:r>
        <w:rPr>
          <w:rFonts w:ascii="Nunito" w:hAnsi="Nunito" w:eastAsia="Nunito"/>
          <w:b w:val="0"/>
          <w:color w:val="68707B"/>
          <w:sz w:val="18"/>
        </w:rPr>
        <w:t>Рабочая версия на 17 августа 2026. Документ предназначен как контекст для продолжения разработки в новом чате.</w:t>
      </w:r>
    </w:p>
    <w:p>
      <w:r>
        <w:rPr>
          <w:rFonts w:ascii="Nunito" w:hAnsi="Nunito" w:eastAsia="Nunito"/>
          <w:b/>
          <w:color w:val="3F454F"/>
          <w:sz w:val="21"/>
        </w:rPr>
        <w:t xml:space="preserve">Статус: </w:t>
      </w:r>
      <w:r>
        <w:rPr>
          <w:rFonts w:ascii="Nunito" w:hAnsi="Nunito" w:eastAsia="Nunito"/>
          <w:b w:val="0"/>
          <w:color w:val="3F454F"/>
          <w:sz w:val="21"/>
        </w:rPr>
        <w:t>theme layer частично определён; layout layer уже описан отдельной библиотекой композиций.</w:t>
      </w:r>
    </w:p>
    <w:p>
      <w:pPr>
        <w:pStyle w:val="Heading1"/>
        <w:spacing w:before="140" w:after="60"/>
      </w:pPr>
      <w:r>
        <w:t>1. Архитектура системы</w:t>
      </w:r>
    </w:p>
    <w:p>
      <w:r>
        <w:t>Система строится из двух слоёв. Layout layer отвечает за композиции, слоты, объём текста и расположение контента. Theme layer отвечает за визуальный язык: цвета, фон, типографику, форму плашек, иконки, стрелки, шестерёнки и декоративный слой.</w:t>
      </w:r>
    </w:p>
    <w:p>
      <w:r>
        <w:t>В загруженной библиотеке layout layer уже описаны 8 авторских типов и 30 композиций. Там же заданы лимиты слотов и первая очередь шаблонов: text.plain, case.inline, cards.N и другие. Этот слой не следует смешивать с визуальной темой.</w:t>
      </w:r>
    </w:p>
    <w:p>
      <w:r>
        <w:t>Текущая задача — довести theme layer до состояния, когда его можно одинаково применять ко всем композициям библиотеки.</w:t>
      </w:r>
    </w:p>
    <w:p>
      <w:pPr>
        <w:pStyle w:val="Heading1"/>
        <w:spacing w:before="140" w:after="60"/>
      </w:pPr>
      <w:r>
        <w:t>2. Палитра</w:t>
      </w:r>
    </w:p>
    <w:p>
      <w:r>
        <w:t>Палитра специально не привязана целиком к корпоративным цветам. Корпоративный зелёный используется там, где это уместно, но коралловая и оранжевая ветки выбраны как самостоятельные акцентные цвета курса.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5E8EC"/>
          </w:tcPr>
          <w:p>
            <w:r>
              <w:t>Группа</w:t>
            </w:r>
          </w:p>
        </w:tc>
        <w:tc>
          <w:tcPr>
            <w:tcW w:type="dxa" w:w="2493"/>
            <w:shd w:fill="E5E8EC"/>
          </w:tcPr>
          <w:p>
            <w:r>
              <w:t>Код</w:t>
            </w:r>
          </w:p>
        </w:tc>
        <w:tc>
          <w:tcPr>
            <w:tcW w:type="dxa" w:w="2493"/>
            <w:shd w:fill="E5E8EC"/>
          </w:tcPr>
          <w:p>
            <w:r>
              <w:t>HEX</w:t>
            </w:r>
          </w:p>
        </w:tc>
        <w:tc>
          <w:tcPr>
            <w:tcW w:type="dxa" w:w="2493"/>
            <w:shd w:fill="E5E8EC"/>
          </w:tcPr>
          <w:p>
            <w:r>
              <w:t>Роль / комментарий</w:t>
            </w:r>
          </w:p>
        </w:tc>
      </w:tr>
      <w:tr>
        <w:tc>
          <w:tcPr>
            <w:tcW w:type="dxa" w:w="2493"/>
          </w:tcPr>
          <w:p>
            <w:r>
              <w:t>Коралл</w:t>
            </w:r>
          </w:p>
        </w:tc>
        <w:tc>
          <w:tcPr>
            <w:tcW w:type="dxa" w:w="2493"/>
          </w:tcPr>
          <w:p>
            <w:r>
              <w:t>CO1</w:t>
            </w:r>
          </w:p>
        </w:tc>
        <w:tc>
          <w:tcPr>
            <w:tcW w:type="dxa" w:w="2493"/>
            <w:shd w:fill="DE4A42"/>
          </w:tcPr>
          <w:p>
            <w:r>
              <w:rPr>
                <w:rFonts w:ascii="Nunito" w:hAnsi="Nunito" w:eastAsia="Nunito"/>
                <w:b/>
                <w:color w:val="FFFFFF"/>
                <w:sz w:val="18"/>
              </w:rPr>
              <w:t>#DE4A42</w:t>
            </w:r>
          </w:p>
        </w:tc>
        <w:tc>
          <w:tcPr>
            <w:tcW w:type="dxa" w:w="2493"/>
          </w:tcPr>
          <w:p>
            <w:r>
              <w:t>тёмный/насыщенный акцент</w:t>
            </w:r>
          </w:p>
        </w:tc>
      </w:tr>
      <w:tr>
        <w:tc>
          <w:tcPr>
            <w:tcW w:type="dxa" w:w="2493"/>
          </w:tcPr>
          <w:p>
            <w:r>
              <w:t>Коралл</w:t>
            </w:r>
          </w:p>
        </w:tc>
        <w:tc>
          <w:tcPr>
            <w:tcW w:type="dxa" w:w="2493"/>
          </w:tcPr>
          <w:p>
            <w:r>
              <w:t>CO2</w:t>
            </w:r>
          </w:p>
        </w:tc>
        <w:tc>
          <w:tcPr>
            <w:tcW w:type="dxa" w:w="2493"/>
            <w:shd w:fill="F06258"/>
          </w:tcPr>
          <w:p>
            <w:r>
              <w:rPr>
                <w:rFonts w:ascii="Nunito" w:hAnsi="Nunito" w:eastAsia="Nunito"/>
                <w:b/>
                <w:color w:val="FFFFFF"/>
                <w:sz w:val="18"/>
              </w:rPr>
              <w:t>#F06258</w:t>
            </w:r>
          </w:p>
        </w:tc>
        <w:tc>
          <w:tcPr>
            <w:tcW w:type="dxa" w:w="2493"/>
          </w:tcPr>
          <w:p>
            <w:r>
              <w:t>основной коралловый</w:t>
            </w:r>
          </w:p>
        </w:tc>
      </w:tr>
      <w:tr>
        <w:tc>
          <w:tcPr>
            <w:tcW w:type="dxa" w:w="2493"/>
          </w:tcPr>
          <w:p>
            <w:r>
              <w:t>Коралл</w:t>
            </w:r>
          </w:p>
        </w:tc>
        <w:tc>
          <w:tcPr>
            <w:tcW w:type="dxa" w:w="2493"/>
          </w:tcPr>
          <w:p>
            <w:r>
              <w:t>CO3</w:t>
            </w:r>
          </w:p>
        </w:tc>
        <w:tc>
          <w:tcPr>
            <w:tcW w:type="dxa" w:w="2493"/>
            <w:shd w:fill="F69282"/>
          </w:tcPr>
          <w:p>
            <w:r>
              <w:rPr>
                <w:rFonts w:ascii="Nunito" w:hAnsi="Nunito" w:eastAsia="Nunito"/>
                <w:b/>
                <w:color w:val="FFFFFF"/>
                <w:sz w:val="18"/>
              </w:rPr>
              <w:t>#F69282</w:t>
            </w:r>
          </w:p>
        </w:tc>
        <w:tc>
          <w:tcPr>
            <w:tcW w:type="dxa" w:w="2493"/>
          </w:tcPr>
          <w:p>
            <w:r>
              <w:t>светлый цветной акцент</w:t>
            </w:r>
          </w:p>
        </w:tc>
      </w:tr>
      <w:tr>
        <w:tc>
          <w:tcPr>
            <w:tcW w:type="dxa" w:w="2493"/>
          </w:tcPr>
          <w:p>
            <w:r>
              <w:t>Коралл</w:t>
            </w:r>
          </w:p>
        </w:tc>
        <w:tc>
          <w:tcPr>
            <w:tcW w:type="dxa" w:w="2493"/>
          </w:tcPr>
          <w:p>
            <w:r>
              <w:t>CO4</w:t>
            </w:r>
          </w:p>
        </w:tc>
        <w:tc>
          <w:tcPr>
            <w:tcW w:type="dxa" w:w="2493"/>
            <w:shd w:fill="FAD7D0"/>
          </w:tcPr>
          <w:p>
            <w:r>
              <w:rPr>
                <w:rFonts w:ascii="Nunito" w:hAnsi="Nunito" w:eastAsia="Nunito"/>
                <w:b/>
                <w:color w:val="3F454F"/>
                <w:sz w:val="18"/>
              </w:rPr>
              <w:t>#FAD7D0</w:t>
            </w:r>
          </w:p>
        </w:tc>
        <w:tc>
          <w:tcPr>
            <w:tcW w:type="dxa" w:w="2493"/>
          </w:tcPr>
          <w:p>
            <w:r>
              <w:t>очень светлый оттенок</w:t>
            </w:r>
          </w:p>
        </w:tc>
      </w:tr>
      <w:tr>
        <w:tc>
          <w:tcPr>
            <w:tcW w:type="dxa" w:w="2493"/>
          </w:tcPr>
          <w:p>
            <w:r>
              <w:t>Зелёный</w:t>
            </w:r>
          </w:p>
        </w:tc>
        <w:tc>
          <w:tcPr>
            <w:tcW w:type="dxa" w:w="2493"/>
          </w:tcPr>
          <w:p>
            <w:r>
              <w:t>GR1</w:t>
            </w:r>
          </w:p>
        </w:tc>
        <w:tc>
          <w:tcPr>
            <w:tcW w:type="dxa" w:w="2493"/>
            <w:shd w:fill="2F9738"/>
          </w:tcPr>
          <w:p>
            <w:r>
              <w:rPr>
                <w:rFonts w:ascii="Nunito" w:hAnsi="Nunito" w:eastAsia="Nunito"/>
                <w:b/>
                <w:color w:val="FFFFFF"/>
                <w:sz w:val="18"/>
              </w:rPr>
              <w:t>#2F9738</w:t>
            </w:r>
          </w:p>
        </w:tc>
        <w:tc>
          <w:tcPr>
            <w:tcW w:type="dxa" w:w="2493"/>
          </w:tcPr>
          <w:p>
            <w:r>
              <w:t>тёмный зелёный</w:t>
            </w:r>
          </w:p>
        </w:tc>
      </w:tr>
      <w:tr>
        <w:tc>
          <w:tcPr>
            <w:tcW w:type="dxa" w:w="2493"/>
          </w:tcPr>
          <w:p>
            <w:r>
              <w:t>Зелёный</w:t>
            </w:r>
          </w:p>
        </w:tc>
        <w:tc>
          <w:tcPr>
            <w:tcW w:type="dxa" w:w="2493"/>
          </w:tcPr>
          <w:p>
            <w:r>
              <w:t>GR2</w:t>
            </w:r>
          </w:p>
        </w:tc>
        <w:tc>
          <w:tcPr>
            <w:tcW w:type="dxa" w:w="2493"/>
            <w:shd w:fill="47B850"/>
          </w:tcPr>
          <w:p>
            <w:r>
              <w:rPr>
                <w:rFonts w:ascii="Nunito" w:hAnsi="Nunito" w:eastAsia="Nunito"/>
                <w:b/>
                <w:color w:val="FFFFFF"/>
                <w:sz w:val="18"/>
              </w:rPr>
              <w:t>#47B850</w:t>
            </w:r>
          </w:p>
        </w:tc>
        <w:tc>
          <w:tcPr>
            <w:tcW w:type="dxa" w:w="2493"/>
          </w:tcPr>
          <w:p>
            <w:r>
              <w:t>основной зелёный</w:t>
            </w:r>
          </w:p>
        </w:tc>
      </w:tr>
      <w:tr>
        <w:tc>
          <w:tcPr>
            <w:tcW w:type="dxa" w:w="2493"/>
          </w:tcPr>
          <w:p>
            <w:r>
              <w:t>Зелёный</w:t>
            </w:r>
          </w:p>
        </w:tc>
        <w:tc>
          <w:tcPr>
            <w:tcW w:type="dxa" w:w="2493"/>
          </w:tcPr>
          <w:p>
            <w:r>
              <w:t>GR3</w:t>
            </w:r>
          </w:p>
        </w:tc>
        <w:tc>
          <w:tcPr>
            <w:tcW w:type="dxa" w:w="2493"/>
            <w:shd w:fill="7BCD84"/>
          </w:tcPr>
          <w:p>
            <w:r>
              <w:rPr>
                <w:rFonts w:ascii="Nunito" w:hAnsi="Nunito" w:eastAsia="Nunito"/>
                <w:b/>
                <w:color w:val="3F454F"/>
                <w:sz w:val="18"/>
              </w:rPr>
              <w:t>#7BCD84</w:t>
            </w:r>
          </w:p>
        </w:tc>
        <w:tc>
          <w:tcPr>
            <w:tcW w:type="dxa" w:w="2493"/>
          </w:tcPr>
          <w:p>
            <w:r>
              <w:t>светлый зелёный; не уводить в салатовый</w:t>
            </w:r>
          </w:p>
        </w:tc>
      </w:tr>
      <w:tr>
        <w:tc>
          <w:tcPr>
            <w:tcW w:type="dxa" w:w="2493"/>
          </w:tcPr>
          <w:p>
            <w:r>
              <w:t>Оранжевый</w:t>
            </w:r>
          </w:p>
        </w:tc>
        <w:tc>
          <w:tcPr>
            <w:tcW w:type="dxa" w:w="2493"/>
          </w:tcPr>
          <w:p>
            <w:r>
              <w:t>OR1</w:t>
            </w:r>
          </w:p>
        </w:tc>
        <w:tc>
          <w:tcPr>
            <w:tcW w:type="dxa" w:w="2493"/>
            <w:shd w:fill="E87C17"/>
          </w:tcPr>
          <w:p>
            <w:r>
              <w:rPr>
                <w:rFonts w:ascii="Nunito" w:hAnsi="Nunito" w:eastAsia="Nunito"/>
                <w:b/>
                <w:color w:val="FFFFFF"/>
                <w:sz w:val="18"/>
              </w:rPr>
              <w:t>#E87C17</w:t>
            </w:r>
          </w:p>
        </w:tc>
        <w:tc>
          <w:tcPr>
            <w:tcW w:type="dxa" w:w="2493"/>
          </w:tcPr>
          <w:p>
            <w:r>
              <w:t>тёмный оранжевый</w:t>
            </w:r>
          </w:p>
        </w:tc>
      </w:tr>
      <w:tr>
        <w:tc>
          <w:tcPr>
            <w:tcW w:type="dxa" w:w="2493"/>
          </w:tcPr>
          <w:p>
            <w:r>
              <w:t>Оранжевый</w:t>
            </w:r>
          </w:p>
        </w:tc>
        <w:tc>
          <w:tcPr>
            <w:tcW w:type="dxa" w:w="2493"/>
          </w:tcPr>
          <w:p>
            <w:r>
              <w:t>OR2</w:t>
            </w:r>
          </w:p>
        </w:tc>
        <w:tc>
          <w:tcPr>
            <w:tcW w:type="dxa" w:w="2493"/>
            <w:shd w:fill="F79D21"/>
          </w:tcPr>
          <w:p>
            <w:r>
              <w:rPr>
                <w:rFonts w:ascii="Nunito" w:hAnsi="Nunito" w:eastAsia="Nunito"/>
                <w:b/>
                <w:color w:val="FFFFFF"/>
                <w:sz w:val="18"/>
              </w:rPr>
              <w:t>#F79D21</w:t>
            </w:r>
          </w:p>
        </w:tc>
        <w:tc>
          <w:tcPr>
            <w:tcW w:type="dxa" w:w="2493"/>
          </w:tcPr>
          <w:p>
            <w:r>
              <w:t>основной оранжевый</w:t>
            </w:r>
          </w:p>
        </w:tc>
      </w:tr>
      <w:tr>
        <w:tc>
          <w:tcPr>
            <w:tcW w:type="dxa" w:w="2493"/>
          </w:tcPr>
          <w:p>
            <w:r>
              <w:t>Оранжевый</w:t>
            </w:r>
          </w:p>
        </w:tc>
        <w:tc>
          <w:tcPr>
            <w:tcW w:type="dxa" w:w="2493"/>
          </w:tcPr>
          <w:p>
            <w:r>
              <w:t>OR3</w:t>
            </w:r>
          </w:p>
        </w:tc>
        <w:tc>
          <w:tcPr>
            <w:tcW w:type="dxa" w:w="2493"/>
            <w:shd w:fill="FDBA41"/>
          </w:tcPr>
          <w:p>
            <w:r>
              <w:rPr>
                <w:rFonts w:ascii="Nunito" w:hAnsi="Nunito" w:eastAsia="Nunito"/>
                <w:b/>
                <w:color w:val="3F454F"/>
                <w:sz w:val="18"/>
              </w:rPr>
              <w:t>#FDBA41</w:t>
            </w:r>
          </w:p>
        </w:tc>
        <w:tc>
          <w:tcPr>
            <w:tcW w:type="dxa" w:w="2493"/>
          </w:tcPr>
          <w:p>
            <w:r>
              <w:t>светлый жёлто-оранжевый</w:t>
            </w:r>
          </w:p>
        </w:tc>
      </w:tr>
      <w:tr>
        <w:tc>
          <w:tcPr>
            <w:tcW w:type="dxa" w:w="2493"/>
          </w:tcPr>
          <w:p>
            <w:r>
              <w:t>Оранжевый</w:t>
            </w:r>
          </w:p>
        </w:tc>
        <w:tc>
          <w:tcPr>
            <w:tcW w:type="dxa" w:w="2493"/>
          </w:tcPr>
          <w:p>
            <w:r>
              <w:t>OR4</w:t>
            </w:r>
          </w:p>
        </w:tc>
        <w:tc>
          <w:tcPr>
            <w:tcW w:type="dxa" w:w="2493"/>
            <w:shd w:fill="F7D8A5"/>
          </w:tcPr>
          <w:p>
            <w:r>
              <w:rPr>
                <w:rFonts w:ascii="Nunito" w:hAnsi="Nunito" w:eastAsia="Nunito"/>
                <w:b/>
                <w:color w:val="3F454F"/>
                <w:sz w:val="18"/>
              </w:rPr>
              <w:t>#F7D8A5</w:t>
            </w:r>
          </w:p>
        </w:tc>
        <w:tc>
          <w:tcPr>
            <w:tcW w:type="dxa" w:w="2493"/>
          </w:tcPr>
          <w:p>
            <w:r>
              <w:t>очень светлый тёплый</w:t>
            </w:r>
          </w:p>
        </w:tc>
      </w:tr>
      <w:tr>
        <w:tc>
          <w:tcPr>
            <w:tcW w:type="dxa" w:w="2493"/>
          </w:tcPr>
          <w:p>
            <w:r>
              <w:t>Серый</w:t>
            </w:r>
          </w:p>
        </w:tc>
        <w:tc>
          <w:tcPr>
            <w:tcW w:type="dxa" w:w="2493"/>
          </w:tcPr>
          <w:p>
            <w:r>
              <w:t>GY1</w:t>
            </w:r>
          </w:p>
        </w:tc>
        <w:tc>
          <w:tcPr>
            <w:tcW w:type="dxa" w:w="2493"/>
            <w:shd w:fill="3F454F"/>
          </w:tcPr>
          <w:p>
            <w:r>
              <w:rPr>
                <w:rFonts w:ascii="Nunito" w:hAnsi="Nunito" w:eastAsia="Nunito"/>
                <w:b/>
                <w:color w:val="FFFFFF"/>
                <w:sz w:val="18"/>
              </w:rPr>
              <w:t>#3F454F</w:t>
            </w:r>
          </w:p>
        </w:tc>
        <w:tc>
          <w:tcPr>
            <w:tcW w:type="dxa" w:w="2493"/>
          </w:tcPr>
          <w:p>
            <w:r>
              <w:t>основной тёмно-серый для текста; вместо чёрного</w:t>
            </w:r>
          </w:p>
        </w:tc>
      </w:tr>
      <w:tr>
        <w:tc>
          <w:tcPr>
            <w:tcW w:type="dxa" w:w="2493"/>
          </w:tcPr>
          <w:p>
            <w:r>
              <w:t>Серый</w:t>
            </w:r>
          </w:p>
        </w:tc>
        <w:tc>
          <w:tcPr>
            <w:tcW w:type="dxa" w:w="2493"/>
          </w:tcPr>
          <w:p>
            <w:r>
              <w:t>GY2</w:t>
            </w:r>
          </w:p>
        </w:tc>
        <w:tc>
          <w:tcPr>
            <w:tcW w:type="dxa" w:w="2493"/>
            <w:shd w:fill="68707B"/>
          </w:tcPr>
          <w:p>
            <w:r>
              <w:rPr>
                <w:rFonts w:ascii="Nunito" w:hAnsi="Nunito" w:eastAsia="Nunito"/>
                <w:b/>
                <w:color w:val="FFFFFF"/>
                <w:sz w:val="18"/>
              </w:rPr>
              <w:t>#68707B</w:t>
            </w:r>
          </w:p>
        </w:tc>
        <w:tc>
          <w:tcPr>
            <w:tcW w:type="dxa" w:w="2493"/>
          </w:tcPr>
          <w:p>
            <w:r>
              <w:t>вторичный текст / вспомогательные элементы</w:t>
            </w:r>
          </w:p>
        </w:tc>
      </w:tr>
      <w:tr>
        <w:tc>
          <w:tcPr>
            <w:tcW w:type="dxa" w:w="2493"/>
          </w:tcPr>
          <w:p>
            <w:r>
              <w:t>Серый</w:t>
            </w:r>
          </w:p>
        </w:tc>
        <w:tc>
          <w:tcPr>
            <w:tcW w:type="dxa" w:w="2493"/>
          </w:tcPr>
          <w:p>
            <w:r>
              <w:t>GY3</w:t>
            </w:r>
          </w:p>
        </w:tc>
        <w:tc>
          <w:tcPr>
            <w:tcW w:type="dxa" w:w="2493"/>
            <w:shd w:fill="A4ABB5"/>
          </w:tcPr>
          <w:p>
            <w:r>
              <w:rPr>
                <w:rFonts w:ascii="Nunito" w:hAnsi="Nunito" w:eastAsia="Nunito"/>
                <w:b/>
                <w:color w:val="3F454F"/>
                <w:sz w:val="18"/>
              </w:rPr>
              <w:t>#A4ABB5</w:t>
            </w:r>
          </w:p>
        </w:tc>
        <w:tc>
          <w:tcPr>
            <w:tcW w:type="dxa" w:w="2493"/>
          </w:tcPr>
          <w:p>
            <w:r>
              <w:t>светлый нейтральный</w:t>
            </w:r>
          </w:p>
        </w:tc>
      </w:tr>
      <w:tr>
        <w:tc>
          <w:tcPr>
            <w:tcW w:type="dxa" w:w="2493"/>
          </w:tcPr>
          <w:p>
            <w:r>
              <w:t>Серый</w:t>
            </w:r>
          </w:p>
        </w:tc>
        <w:tc>
          <w:tcPr>
            <w:tcW w:type="dxa" w:w="2493"/>
          </w:tcPr>
          <w:p>
            <w:r>
              <w:t>GY4</w:t>
            </w:r>
          </w:p>
        </w:tc>
        <w:tc>
          <w:tcPr>
            <w:tcW w:type="dxa" w:w="2493"/>
            <w:shd w:fill="E5E8EC"/>
          </w:tcPr>
          <w:p>
            <w:r>
              <w:rPr>
                <w:rFonts w:ascii="Nunito" w:hAnsi="Nunito" w:eastAsia="Nunito"/>
                <w:b/>
                <w:color w:val="3F454F"/>
                <w:sz w:val="18"/>
              </w:rPr>
              <w:t>#E5E8EC</w:t>
            </w:r>
          </w:p>
        </w:tc>
        <w:tc>
          <w:tcPr>
            <w:tcW w:type="dxa" w:w="2493"/>
          </w:tcPr>
          <w:p>
            <w:r>
              <w:t>очень светлый нейтральный</w:t>
            </w:r>
          </w:p>
        </w:tc>
      </w:tr>
    </w:tbl>
    <w:p>
      <w:pPr>
        <w:pStyle w:val="Heading1"/>
        <w:spacing w:before="140" w:after="60"/>
      </w:pPr>
      <w:r>
        <w:t>3. Типографика</w:t>
      </w:r>
    </w:p>
    <w:p>
      <w:r>
        <w:t>Выбранная пара шрифтов:</w:t>
      </w:r>
    </w:p>
    <w:p>
      <w:pPr/>
      <w:r>
        <w:rPr>
          <w:rFonts w:ascii="Nunito" w:hAnsi="Nunito" w:eastAsia="Nunito"/>
          <w:b/>
          <w:color w:val="3F454F"/>
          <w:sz w:val="21"/>
        </w:rPr>
        <w:t xml:space="preserve">Bahnschrift SemiBold Condensed: </w:t>
      </w:r>
      <w:r>
        <w:rPr>
          <w:rFonts w:ascii="Nunito" w:hAnsi="Nunito" w:eastAsia="Nunito"/>
          <w:b w:val="0"/>
          <w:color w:val="3F454F"/>
          <w:sz w:val="21"/>
        </w:rPr>
        <w:t>заголовки слайда, заголовки блоков, крупные короткие надписи. Нравится технический condensed-характер.</w:t>
      </w:r>
    </w:p>
    <w:p>
      <w:pPr/>
      <w:r>
        <w:rPr>
          <w:rFonts w:ascii="Nunito" w:hAnsi="Nunito" w:eastAsia="Nunito"/>
          <w:b/>
          <w:color w:val="3F454F"/>
          <w:sz w:val="21"/>
        </w:rPr>
        <w:t xml:space="preserve">Nunito: </w:t>
      </w:r>
      <w:r>
        <w:rPr>
          <w:rFonts w:ascii="Nunito" w:hAnsi="Nunito" w:eastAsia="Nunito"/>
          <w:b w:val="0"/>
          <w:color w:val="3F454F"/>
          <w:sz w:val="21"/>
        </w:rPr>
        <w:t>основной текст. Он компактный по ширине, хорошо укладывает текст и визуально смягчает Bahnschrift.</w:t>
      </w:r>
    </w:p>
    <w:p>
      <w:r>
        <w:t>Для основного текста предпочтительны Nunito Regular/Medium; SemiBold — для локальных акцентов и подзаголовков. Чёрный цвет не использовать: базовый текст — GY1.</w:t>
      </w:r>
    </w:p>
    <w:p>
      <w:pPr>
        <w:pStyle w:val="Heading1"/>
        <w:spacing w:before="140" w:after="60"/>
      </w:pPr>
      <w:r>
        <w:t>4. Фон</w:t>
      </w:r>
    </w:p>
    <w:p>
      <w:r>
        <w:t>Направление зафиксировано: холодный светло-серый фон с очень мягким металлическим отливом. Тёплый бежевый фон отвергнут. Сильный градиент тоже отвергнут: на тёмной части яркие цвета теряются.</w:t>
      </w:r>
    </w:p>
    <w:p>
      <w:r>
        <w:t>Последнее требование: фон должен быть заметно светлее ранних серых вариантов. Точные HEX градиента ещё не зафиксированы; нужен почти белый холодный серый с очень небольшим перепадом светлоты.</w:t>
      </w:r>
    </w:p>
    <w:p>
      <w:pPr>
        <w:pStyle w:val="Heading1"/>
        <w:spacing w:before="140" w:after="60"/>
      </w:pPr>
      <w:r>
        <w:t>5. Текстовые плашки</w:t>
      </w:r>
    </w:p>
    <w:p>
      <w:r>
        <w:t>Форма плашки найдена и понравилась: это нейтральная светло-серая подложка, похожая на плоскую деталь из листового металла.</w:t>
      </w:r>
    </w:p>
    <w:p>
      <w:pPr>
        <w:pStyle w:val="ListBullet"/>
        <w:spacing w:after="40"/>
      </w:pPr>
      <w:r>
        <w:t>четырёхугольная форма со срезанными углами вместо сильного скругления;</w:t>
      </w:r>
    </w:p>
    <w:p>
      <w:pPr>
        <w:pStyle w:val="ListBullet"/>
        <w:spacing w:after="40"/>
      </w:pPr>
      <w:r>
        <w:t>4 небольших круглых отверстия — по одному около каждого угла;</w:t>
      </w:r>
    </w:p>
    <w:p>
      <w:pPr>
        <w:pStyle w:val="ListBullet"/>
        <w:spacing w:after="40"/>
      </w:pPr>
      <w:r>
        <w:t>диаметр отверстий одинаковый у всех плашек, независимо от размера;</w:t>
      </w:r>
    </w:p>
    <w:p>
      <w:pPr>
        <w:pStyle w:val="ListBullet"/>
        <w:spacing w:after="40"/>
      </w:pPr>
      <w:r>
        <w:t>никаких винтов, шайб, точек внутри отверстий или сложной фурнитуры;</w:t>
      </w:r>
    </w:p>
    <w:p>
      <w:pPr>
        <w:pStyle w:val="ListBullet"/>
        <w:spacing w:after="40"/>
      </w:pPr>
      <w:r>
        <w:t>последнее решение: убрать тень полностью, в том числе объём/тень внутри отверстий;</w:t>
      </w:r>
    </w:p>
    <w:p>
      <w:pPr>
        <w:pStyle w:val="ListBullet"/>
        <w:spacing w:after="40"/>
      </w:pPr>
      <w:r>
        <w:t>плашка должна быть на 1–2 тона светлее фона, но не почти белой и не контрастной;</w:t>
      </w:r>
    </w:p>
    <w:p>
      <w:pPr>
        <w:pStyle w:val="ListBullet"/>
        <w:spacing w:after="40"/>
      </w:pPr>
      <w:r>
        <w:t>плашки разных размеров строятся на общей размерной системе; отдельно пробовали квадратные и прямоугольные варианты на основе золотого сечения.</w:t>
      </w:r>
    </w:p>
    <w:p>
      <w:r>
        <w:t>Открытый вопрос: использовать ли плашку для обычного связного текста. Сейчас склоняемся к тому, что плашка сильнее нужна для выделенных структурных блоков (пример, шаг, карточка, определение), а обычный текст может чаще жить прямо на фоне.</w:t>
      </w:r>
    </w:p>
    <w:p>
      <w:pPr>
        <w:pStyle w:val="Heading1"/>
        <w:spacing w:before="140" w:after="60"/>
      </w:pPr>
      <w:r>
        <w:t>6. Иконки: плоские гайки</w:t>
      </w:r>
    </w:p>
    <w:p>
      <w:r>
        <w:t>Вместо неоморфных круглых кнопок выбран плоский индустриальный контейнер в форме шестигранной гайки/шестигранника.</w:t>
      </w:r>
    </w:p>
    <w:p>
      <w:pPr>
        <w:pStyle w:val="ListBullet"/>
        <w:spacing w:after="40"/>
      </w:pPr>
      <w:r>
        <w:t>плоская заливка акцентным цветом;</w:t>
      </w:r>
    </w:p>
    <w:p>
      <w:pPr>
        <w:pStyle w:val="ListBullet"/>
        <w:spacing w:after="40"/>
      </w:pPr>
      <w:r>
        <w:t>внутри — небольшая белая линейная иконка;</w:t>
      </w:r>
    </w:p>
    <w:p>
      <w:pPr>
        <w:pStyle w:val="ListBullet"/>
        <w:spacing w:after="40"/>
      </w:pPr>
      <w:r>
        <w:t>никаких внутренних кругов/колец;</w:t>
      </w:r>
    </w:p>
    <w:p>
      <w:pPr>
        <w:pStyle w:val="ListBullet"/>
        <w:spacing w:after="40"/>
      </w:pPr>
      <w:r>
        <w:t>никаких градиентов внутри контейнера или иконки;</w:t>
      </w:r>
    </w:p>
    <w:p>
      <w:pPr>
        <w:pStyle w:val="ListBullet"/>
        <w:spacing w:after="40"/>
      </w:pPr>
      <w:r>
        <w:t>иконка должна занимать небольшую часть гайки и иметь много внутреннего воздуха;</w:t>
      </w:r>
    </w:p>
    <w:p>
      <w:pPr>
        <w:pStyle w:val="ListBullet"/>
        <w:spacing w:after="40"/>
      </w:pPr>
      <w:r>
        <w:t>размер гайки средний: не доминирует над текстом, но заметен как маркер блока;</w:t>
      </w:r>
    </w:p>
    <w:p>
      <w:pPr>
        <w:pStyle w:val="ListBullet"/>
        <w:spacing w:after="40"/>
      </w:pPr>
      <w:r>
        <w:t>основные цвета: CO2, GR2, OR2, OR3; возможны светлые варианты для менее акцентных блоков.</w:t>
      </w:r>
    </w:p>
    <w:p>
      <w:pPr>
        <w:pStyle w:val="Heading1"/>
        <w:spacing w:before="140" w:after="60"/>
      </w:pPr>
      <w:r>
        <w:t>7. Шестерёнки: сквозной декоративный мотив</w:t>
      </w:r>
    </w:p>
    <w:p>
      <w:r>
        <w:t>Шестерёнки — не фиксированный «кластер в углу», а гибкий decorative layer. Их интенсивность и способ использования могут меняться от слайда к слайду.</w:t>
      </w:r>
    </w:p>
    <w:p>
      <w:pPr>
        <w:pStyle w:val="ListBullet"/>
        <w:spacing w:after="40"/>
      </w:pPr>
      <w:r>
        <w:t>геометрия семейства: у всех шестерёнок одинаковая форма и размер зубца; меньшие шестерёнки имеют меньше зубцов, большие — больше;</w:t>
      </w:r>
    </w:p>
    <w:p>
      <w:pPr>
        <w:pStyle w:val="ListBullet"/>
        <w:spacing w:after="40"/>
      </w:pPr>
      <w:r>
        <w:t>шестерёнки должны визуально сцепляться, а не слипаться или случайно перекрываться;</w:t>
      </w:r>
    </w:p>
    <w:p>
      <w:pPr>
        <w:pStyle w:val="ListBullet"/>
        <w:spacing w:after="40"/>
      </w:pPr>
      <w:r>
        <w:t>в конгломерате нужны и насыщенные, и светлые цветные шестерёнки; избыток серого делает декор унылым;</w:t>
      </w:r>
    </w:p>
    <w:p>
      <w:pPr>
        <w:pStyle w:val="ListBullet"/>
        <w:spacing w:after="40"/>
      </w:pPr>
      <w:r>
        <w:t>светлые CO3 / OR3 / GR3 важны как яркие световые пятна; серые — поддерживающие, а не доминирующие;</w:t>
      </w:r>
    </w:p>
    <w:p>
      <w:pPr>
        <w:pStyle w:val="ListBullet"/>
        <w:spacing w:after="40"/>
      </w:pPr>
      <w:r>
        <w:t>кольца внутри — максимум на одной заметной шестерёнке в конкретном конгломерате; остальные преимущественно сплошные;</w:t>
      </w:r>
    </w:p>
    <w:p>
      <w:pPr>
        <w:pStyle w:val="ListBullet"/>
        <w:spacing w:after="40"/>
      </w:pPr>
      <w:r>
        <w:t>шестерёнки могут частично прятаться под плашкой, выглядывать из-за неё или быть обрезаны краем слайда — аналогично декоративным треугольникам из референса;</w:t>
      </w:r>
    </w:p>
    <w:p>
      <w:pPr>
        <w:pStyle w:val="ListBullet"/>
        <w:spacing w:after="40"/>
      </w:pPr>
      <w:r>
        <w:t>на титульных или пустых слайдах декор может быть ярким и крупным; на текстовых — тихим; иногда шестерёнки могут быть только контурами на фоне;</w:t>
      </w:r>
    </w:p>
    <w:p>
      <w:pPr>
        <w:pStyle w:val="ListBullet"/>
        <w:spacing w:after="40"/>
      </w:pPr>
      <w:r>
        <w:t>идея для анимации PowerPoint «Трансформация»: одна и та же шестерня меняет позицию между соседними слайдами и визуально «перекатывается» при переходе.</w:t>
      </w:r>
    </w:p>
    <w:p>
      <w:pPr>
        <w:pStyle w:val="Heading1"/>
        <w:spacing w:before="140" w:after="60"/>
      </w:pPr>
      <w:r>
        <w:t>8. Стрелки</w:t>
      </w:r>
    </w:p>
    <w:p>
      <w:r>
        <w:t>Выбран мотив двойного шеврона, как в исходном референсе, но без растительной текстуры:</w:t>
      </w:r>
    </w:p>
    <w:p>
      <w:pPr>
        <w:pStyle w:val="ListBullet"/>
        <w:spacing w:after="40"/>
      </w:pPr>
      <w:r>
        <w:t>задний, более крупный шеврон — очень светлый серый;</w:t>
      </w:r>
    </w:p>
    <w:p>
      <w:pPr>
        <w:pStyle w:val="ListBullet"/>
        <w:spacing w:after="40"/>
      </w:pPr>
      <w:r>
        <w:t>передний, меньший — акцентный, в первую очередь зелёный; при необходимости допустим другой цвет из палитры;</w:t>
      </w:r>
    </w:p>
    <w:p>
      <w:pPr>
        <w:pStyle w:val="ListBullet"/>
        <w:spacing w:after="40"/>
      </w:pPr>
      <w:r>
        <w:t>форма простая, плоская, с мягко обработанными концами; использовать как маркер раздела, процесса или направления.</w:t>
      </w:r>
    </w:p>
    <w:p>
      <w:pPr>
        <w:pStyle w:val="Heading1"/>
        <w:spacing w:before="140" w:after="60"/>
      </w:pPr>
      <w:r>
        <w:t>9. Общий декоративный слой</w:t>
      </w:r>
    </w:p>
    <w:p>
      <w:r>
        <w:t>Декор должен работать как слой поверх композиции, а не диктовать сетку. В референсе такую функцию выполняют треугольники; в нашей теме основной мотив — шестерёнки, но возможны и другие технические элементы.</w:t>
      </w:r>
    </w:p>
    <w:p>
      <w:pPr>
        <w:pStyle w:val="ListBullet"/>
        <w:spacing w:after="40"/>
      </w:pPr>
      <w:r>
        <w:t>перфорация / ряд отверстий;</w:t>
      </w:r>
    </w:p>
    <w:p>
      <w:pPr>
        <w:pStyle w:val="ListBullet"/>
        <w:spacing w:after="40"/>
      </w:pPr>
      <w:r>
        <w:t>уголки и короткие технические линии;</w:t>
      </w:r>
    </w:p>
    <w:p>
      <w:pPr>
        <w:pStyle w:val="ListBullet"/>
        <w:spacing w:after="40"/>
      </w:pPr>
      <w:r>
        <w:t>размерные линии;</w:t>
      </w:r>
    </w:p>
    <w:p>
      <w:pPr>
        <w:pStyle w:val="ListBullet"/>
        <w:spacing w:after="40"/>
      </w:pPr>
      <w:r>
        <w:t>контурные шестерёнки;</w:t>
      </w:r>
    </w:p>
    <w:p>
      <w:pPr>
        <w:pStyle w:val="ListBullet"/>
        <w:spacing w:after="40"/>
      </w:pPr>
      <w:r>
        <w:t>двойные шевроны;</w:t>
      </w:r>
    </w:p>
    <w:p>
      <w:pPr>
        <w:pStyle w:val="ListBullet"/>
        <w:spacing w:after="40"/>
      </w:pPr>
      <w:r>
        <w:t>в перспективе — детали с клёпками или другие простые технические формы, если они не перегружают слайд.</w:t>
      </w:r>
    </w:p>
    <w:p>
      <w:pPr>
        <w:pStyle w:val="Heading1"/>
        <w:spacing w:before="140" w:after="60"/>
      </w:pPr>
      <w:r>
        <w:t>10. Роли цвета — предварительная схема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5E8EC"/>
          </w:tcPr>
          <w:p>
            <w:r>
              <w:t>Элемент</w:t>
            </w:r>
          </w:p>
        </w:tc>
        <w:tc>
          <w:tcPr>
            <w:tcW w:type="dxa" w:w="4986"/>
            <w:shd w:fill="E5E8EC"/>
          </w:tcPr>
          <w:p>
            <w:r>
              <w:t>Текущее решение</w:t>
            </w:r>
          </w:p>
        </w:tc>
      </w:tr>
      <w:tr>
        <w:tc>
          <w:tcPr>
            <w:tcW w:type="dxa" w:w="4986"/>
          </w:tcPr>
          <w:p>
            <w:r>
              <w:t>Основной заголовок</w:t>
            </w:r>
          </w:p>
        </w:tc>
        <w:tc>
          <w:tcPr>
            <w:tcW w:type="dxa" w:w="4986"/>
          </w:tcPr>
          <w:p>
            <w:r>
              <w:t>GY1 #3F454F</w:t>
            </w:r>
          </w:p>
        </w:tc>
      </w:tr>
      <w:tr>
        <w:tc>
          <w:tcPr>
            <w:tcW w:type="dxa" w:w="4986"/>
          </w:tcPr>
          <w:p>
            <w:r>
              <w:t>Основной текст</w:t>
            </w:r>
          </w:p>
        </w:tc>
        <w:tc>
          <w:tcPr>
            <w:tcW w:type="dxa" w:w="4986"/>
          </w:tcPr>
          <w:p>
            <w:r>
              <w:t>GY1 #3F454F</w:t>
            </w:r>
          </w:p>
        </w:tc>
      </w:tr>
      <w:tr>
        <w:tc>
          <w:tcPr>
            <w:tcW w:type="dxa" w:w="4986"/>
          </w:tcPr>
          <w:p>
            <w:r>
              <w:t>Вторичный текст</w:t>
            </w:r>
          </w:p>
        </w:tc>
        <w:tc>
          <w:tcPr>
            <w:tcW w:type="dxa" w:w="4986"/>
          </w:tcPr>
          <w:p>
            <w:r>
              <w:t>GY2 #68707B</w:t>
            </w:r>
          </w:p>
        </w:tc>
      </w:tr>
      <w:tr>
        <w:tc>
          <w:tcPr>
            <w:tcW w:type="dxa" w:w="4986"/>
          </w:tcPr>
          <w:p>
            <w:r>
              <w:t>Фон</w:t>
            </w:r>
          </w:p>
        </w:tc>
        <w:tc>
          <w:tcPr>
            <w:tcW w:type="dxa" w:w="4986"/>
          </w:tcPr>
          <w:p>
            <w:r>
              <w:t>очень светлый холодный серый градиент; точные HEX не зафиксированы</w:t>
            </w:r>
          </w:p>
        </w:tc>
      </w:tr>
      <w:tr>
        <w:tc>
          <w:tcPr>
            <w:tcW w:type="dxa" w:w="4986"/>
          </w:tcPr>
          <w:p>
            <w:r>
              <w:t>Плашка</w:t>
            </w:r>
          </w:p>
        </w:tc>
        <w:tc>
          <w:tcPr>
            <w:tcW w:type="dxa" w:w="4986"/>
          </w:tcPr>
          <w:p>
            <w:r>
              <w:t>на 1–2 тона светлее фона, без тени</w:t>
            </w:r>
          </w:p>
        </w:tc>
      </w:tr>
      <w:tr>
        <w:tc>
          <w:tcPr>
            <w:tcW w:type="dxa" w:w="4986"/>
          </w:tcPr>
          <w:p>
            <w:r>
              <w:t>Цветные заголовки/маркеры</w:t>
            </w:r>
          </w:p>
        </w:tc>
        <w:tc>
          <w:tcPr>
            <w:tcW w:type="dxa" w:w="4986"/>
          </w:tcPr>
          <w:p>
            <w:r>
              <w:t>CO2 / GR2 / OR2 / OR3 по композиции</w:t>
            </w:r>
          </w:p>
        </w:tc>
      </w:tr>
      <w:tr>
        <w:tc>
          <w:tcPr>
            <w:tcW w:type="dxa" w:w="4986"/>
          </w:tcPr>
          <w:p>
            <w:r>
              <w:t>Иконки-гайки</w:t>
            </w:r>
          </w:p>
        </w:tc>
        <w:tc>
          <w:tcPr>
            <w:tcW w:type="dxa" w:w="4986"/>
          </w:tcPr>
          <w:p>
            <w:r>
              <w:t>CO2 / GR2 / OR2 / OR3; белая пиктограмма</w:t>
            </w:r>
          </w:p>
        </w:tc>
      </w:tr>
      <w:tr>
        <w:tc>
          <w:tcPr>
            <w:tcW w:type="dxa" w:w="4986"/>
          </w:tcPr>
          <w:p>
            <w:r>
              <w:t>Цифры и показатели</w:t>
            </w:r>
          </w:p>
        </w:tc>
        <w:tc>
          <w:tcPr>
            <w:tcW w:type="dxa" w:w="4986"/>
          </w:tcPr>
          <w:p>
            <w:r>
              <w:t>акцентные цвета; конкретное правило ещё не зафиксировано</w:t>
            </w:r>
          </w:p>
        </w:tc>
      </w:tr>
      <w:tr>
        <w:tc>
          <w:tcPr>
            <w:tcW w:type="dxa" w:w="4986"/>
          </w:tcPr>
          <w:p>
            <w:r>
              <w:t>Декор</w:t>
            </w:r>
          </w:p>
        </w:tc>
        <w:tc>
          <w:tcPr>
            <w:tcW w:type="dxa" w:w="4986"/>
          </w:tcPr>
          <w:p>
            <w:r>
              <w:t>вся шкала палитры, включая светлые оттенки; интенсивность зависит от слайда</w:t>
            </w:r>
          </w:p>
        </w:tc>
      </w:tr>
    </w:tbl>
    <w:p>
      <w:pPr>
        <w:pStyle w:val="Heading1"/>
        <w:spacing w:before="140" w:after="60"/>
      </w:pPr>
      <w:r>
        <w:t>11. Что уже есть в layout layer</w:t>
      </w:r>
    </w:p>
    <w:p>
      <w:r>
        <w:t>Отдельный документ «Библиотека композиций» уже задаёт 30 композиций по восьми авторским типам. Это основа, на которую накладывается текущая тема.</w:t>
      </w:r>
    </w:p>
    <w:p>
      <w:pPr>
        <w:pStyle w:val="ListBullet"/>
        <w:spacing w:after="40"/>
      </w:pPr>
      <w:r>
        <w:t>Объяснение: text.plain, text.image, text.maxim.</w:t>
      </w:r>
    </w:p>
    <w:p>
      <w:pPr>
        <w:pStyle w:val="ListBullet"/>
        <w:spacing w:after="40"/>
      </w:pPr>
      <w:r>
        <w:t>Определение: def.plain, def.tags, def.example.</w:t>
      </w:r>
    </w:p>
    <w:p>
      <w:pPr>
        <w:pStyle w:val="ListBullet"/>
        <w:spacing w:after="40"/>
      </w:pPr>
      <w:r>
        <w:t>Разбор случая: case.inline, case.image, case.full.</w:t>
      </w:r>
    </w:p>
    <w:p>
      <w:pPr>
        <w:pStyle w:val="ListBullet"/>
        <w:spacing w:after="40"/>
      </w:pPr>
      <w:r>
        <w:t>Перечни: cards.N, cards.image, list.bullets, list.check, list.numbered, list.image.</w:t>
      </w:r>
    </w:p>
    <w:p>
      <w:pPr>
        <w:pStyle w:val="ListBullet"/>
        <w:spacing w:after="40"/>
      </w:pPr>
      <w:r>
        <w:t>Противопоставление: contrast.rightwrong, contrast.proscons, contrast.cause, contrast.beforeafter.</w:t>
      </w:r>
    </w:p>
    <w:p>
      <w:pPr>
        <w:pStyle w:val="ListBullet"/>
        <w:spacing w:after="40"/>
      </w:pPr>
      <w:r>
        <w:t>Последовательность: steps.row, steps.column, steps.continued, scale.</w:t>
      </w:r>
    </w:p>
    <w:p>
      <w:pPr>
        <w:pStyle w:val="ListBullet"/>
        <w:spacing w:after="40"/>
      </w:pPr>
      <w:r>
        <w:t>Диалог: dlg.scene, dlg.bubbles, dlg.mono, quote.person.</w:t>
      </w:r>
    </w:p>
    <w:p>
      <w:pPr>
        <w:pStyle w:val="ListBullet"/>
        <w:spacing w:after="40"/>
      </w:pPr>
      <w:r>
        <w:t>Итоговая мысль / изображение: statement.big, img.callouts, img.full.</w:t>
      </w:r>
    </w:p>
    <w:p>
      <w:pPr>
        <w:pStyle w:val="ListBullet"/>
        <w:spacing w:after="40"/>
      </w:pPr>
      <w:r>
        <w:t>Сквозные элементы: пример, отсылка к уроку, источник; отдельно — decorative layer.</w:t>
      </w:r>
    </w:p>
    <w:p>
      <w:r>
        <w:t>В библиотеке отдельно зафиксирован правильный порядок дизайна: сначала фон и плашка, затем типографика, затем наиболее частые шаблоны, карточки, оппозиции, диалог, и только после этого — декор и чередование. Это стоит сохранить как рабочий порядок.</w:t>
      </w:r>
    </w:p>
    <w:p>
      <w:pPr>
        <w:pStyle w:val="Heading1"/>
        <w:spacing w:before="140" w:after="60"/>
      </w:pPr>
      <w:r>
        <w:t>12. Что ещё не придумано / требует разработки</w:t>
      </w:r>
    </w:p>
    <w:p>
      <w:r>
        <w:rPr>
          <w:rFonts w:ascii="Nunito" w:hAnsi="Nunito" w:eastAsia="Nunito"/>
          <w:b/>
          <w:color w:val="3F454F"/>
          <w:sz w:val="21"/>
        </w:rPr>
        <w:t xml:space="preserve">Точные параметры фона. </w:t>
      </w:r>
      <w:r>
        <w:rPr>
          <w:rFonts w:ascii="Nunito" w:hAnsi="Nunito" w:eastAsia="Nunito"/>
          <w:b w:val="0"/>
          <w:color w:val="3F454F"/>
          <w:sz w:val="21"/>
        </w:rPr>
        <w:t>Зафиксировать реальные HEX начальной и конечной точки очень светлого холодного градиента. Сейчас направление понятно, но значения не утверждены.</w:t>
      </w:r>
    </w:p>
    <w:p>
      <w:r>
        <w:rPr>
          <w:rFonts w:ascii="Nunito" w:hAnsi="Nunito" w:eastAsia="Nunito"/>
          <w:b/>
          <w:color w:val="3F454F"/>
          <w:sz w:val="21"/>
        </w:rPr>
        <w:t xml:space="preserve">Точный тон плашки. </w:t>
      </w:r>
      <w:r>
        <w:rPr>
          <w:rFonts w:ascii="Nunito" w:hAnsi="Nunito" w:eastAsia="Nunito"/>
          <w:b w:val="0"/>
          <w:color w:val="3F454F"/>
          <w:sz w:val="21"/>
        </w:rPr>
        <w:t>Выбрать окончательный цвет относительно фона: на 1–2 тона светлее, без тени. Проверить на нескольких композициях.</w:t>
      </w:r>
    </w:p>
    <w:p>
      <w:r>
        <w:rPr>
          <w:rFonts w:ascii="Nunito" w:hAnsi="Nunito" w:eastAsia="Nunito"/>
          <w:b/>
          <w:color w:val="3F454F"/>
          <w:sz w:val="21"/>
        </w:rPr>
        <w:t xml:space="preserve">Правило «текст на фоне vs плашка». </w:t>
      </w:r>
      <w:r>
        <w:rPr>
          <w:rFonts w:ascii="Nunito" w:hAnsi="Nunito" w:eastAsia="Nunito"/>
          <w:b w:val="0"/>
          <w:color w:val="3F454F"/>
          <w:sz w:val="21"/>
        </w:rPr>
        <w:t>Определить, какие композиции используют свободный текст на фоне, а какие требуют контейнеров. Проверить минимум text.plain, case.inline, cards.N, steps.row.</w:t>
      </w:r>
    </w:p>
    <w:p>
      <w:r>
        <w:rPr>
          <w:rFonts w:ascii="Nunito" w:hAnsi="Nunito" w:eastAsia="Nunito"/>
          <w:b/>
          <w:color w:val="3F454F"/>
          <w:sz w:val="21"/>
        </w:rPr>
        <w:t xml:space="preserve">Размерная сетка и выравнивание. </w:t>
      </w:r>
      <w:r>
        <w:rPr>
          <w:rFonts w:ascii="Nunito" w:hAnsi="Nunito" w:eastAsia="Nunito"/>
          <w:b w:val="0"/>
          <w:color w:val="3F454F"/>
          <w:sz w:val="21"/>
        </w:rPr>
        <w:t>Зафиксировать поля слайда, базовые вертикали, расстояния между заголовком, контентом и декором. Ранние тесты показали, что плавающее выравнивание быстро портит композицию.</w:t>
      </w:r>
    </w:p>
    <w:p>
      <w:r>
        <w:rPr>
          <w:rFonts w:ascii="Nunito" w:hAnsi="Nunito" w:eastAsia="Nunito"/>
          <w:b/>
          <w:color w:val="3F454F"/>
          <w:sz w:val="21"/>
        </w:rPr>
        <w:t xml:space="preserve">Кегли и интервалы. </w:t>
      </w:r>
      <w:r>
        <w:rPr>
          <w:rFonts w:ascii="Nunito" w:hAnsi="Nunito" w:eastAsia="Nunito"/>
          <w:b w:val="0"/>
          <w:color w:val="3F454F"/>
          <w:sz w:val="21"/>
        </w:rPr>
        <w:t>Утвердить 3 основных кегля: заголовок слайда, основной текст, крупная мысль; плюс метки/подписи. Пока выбраны семейства шрифтов, но не размеры.</w:t>
      </w:r>
    </w:p>
    <w:p>
      <w:r>
        <w:rPr>
          <w:rFonts w:ascii="Nunito" w:hAnsi="Nunito" w:eastAsia="Nunito"/>
          <w:b/>
          <w:color w:val="3F454F"/>
          <w:sz w:val="21"/>
        </w:rPr>
        <w:t xml:space="preserve">Цветовые роли. </w:t>
      </w:r>
      <w:r>
        <w:rPr>
          <w:rFonts w:ascii="Nunito" w:hAnsi="Nunito" w:eastAsia="Nunito"/>
          <w:b w:val="0"/>
          <w:color w:val="3F454F"/>
          <w:sz w:val="21"/>
        </w:rPr>
        <w:t>Уточнить, когда используется каждый акцентный цвет; нужно избежать «радуги» при массовой генерации.</w:t>
      </w:r>
    </w:p>
    <w:p>
      <w:r>
        <w:rPr>
          <w:rFonts w:ascii="Nunito" w:hAnsi="Nunito" w:eastAsia="Nunito"/>
          <w:b/>
          <w:color w:val="3F454F"/>
          <w:sz w:val="21"/>
        </w:rPr>
        <w:t xml:space="preserve">Семантические цвета. </w:t>
      </w:r>
      <w:r>
        <w:rPr>
          <w:rFonts w:ascii="Nunito" w:hAnsi="Nunito" w:eastAsia="Nunito"/>
          <w:b w:val="0"/>
          <w:color w:val="3F454F"/>
          <w:sz w:val="21"/>
        </w:rPr>
        <w:t>Отдельно определить цвета для «верно/неверно», «плюсы/минусы», предупреждений и других смысловых состояний, чтобы они не конфликтовали с тематической палитрой.</w:t>
      </w:r>
    </w:p>
    <w:p>
      <w:r>
        <w:rPr>
          <w:rFonts w:ascii="Nunito" w:hAnsi="Nunito" w:eastAsia="Nunito"/>
          <w:b/>
          <w:color w:val="3F454F"/>
          <w:sz w:val="21"/>
        </w:rPr>
        <w:t xml:space="preserve">Числовая инфографика. </w:t>
      </w:r>
      <w:r>
        <w:rPr>
          <w:rFonts w:ascii="Nunito" w:hAnsi="Nunito" w:eastAsia="Nunito"/>
          <w:b w:val="0"/>
          <w:color w:val="3F454F"/>
          <w:sz w:val="21"/>
        </w:rPr>
        <w:t>Придумать стиль больших цифр, процентов, счётчиков и показателей.</w:t>
      </w:r>
    </w:p>
    <w:p>
      <w:r>
        <w:rPr>
          <w:rFonts w:ascii="Nunito" w:hAnsi="Nunito" w:eastAsia="Nunito"/>
          <w:b/>
          <w:color w:val="3F454F"/>
          <w:sz w:val="21"/>
        </w:rPr>
        <w:t xml:space="preserve">Списки. </w:t>
      </w:r>
      <w:r>
        <w:rPr>
          <w:rFonts w:ascii="Nunito" w:hAnsi="Nunito" w:eastAsia="Nunito"/>
          <w:b w:val="0"/>
          <w:color w:val="3F454F"/>
          <w:sz w:val="21"/>
        </w:rPr>
        <w:t>Определить маркеры обычного списка, нумерованного списка и чек-листа.</w:t>
      </w:r>
    </w:p>
    <w:p>
      <w:r>
        <w:rPr>
          <w:rFonts w:ascii="Nunito" w:hAnsi="Nunito" w:eastAsia="Nunito"/>
          <w:b/>
          <w:color w:val="3F454F"/>
          <w:sz w:val="21"/>
        </w:rPr>
        <w:t xml:space="preserve">Процессы и шаги. </w:t>
      </w:r>
      <w:r>
        <w:rPr>
          <w:rFonts w:ascii="Nunito" w:hAnsi="Nunito" w:eastAsia="Nunito"/>
          <w:b w:val="0"/>
          <w:color w:val="3F454F"/>
          <w:sz w:val="21"/>
        </w:rPr>
        <w:t>Применить двойную стрелку и/или другие соединители к steps.row, steps.column, contrast.cause; определить геометрию и расстояния.</w:t>
      </w:r>
    </w:p>
    <w:p>
      <w:r>
        <w:rPr>
          <w:rFonts w:ascii="Nunito" w:hAnsi="Nunito" w:eastAsia="Nunito"/>
          <w:b/>
          <w:color w:val="3F454F"/>
          <w:sz w:val="21"/>
        </w:rPr>
        <w:t xml:space="preserve">Таблицы. </w:t>
      </w:r>
      <w:r>
        <w:rPr>
          <w:rFonts w:ascii="Nunito" w:hAnsi="Nunito" w:eastAsia="Nunito"/>
          <w:b w:val="0"/>
          <w:color w:val="3F454F"/>
          <w:sz w:val="21"/>
        </w:rPr>
        <w:t>Нужны шапка, сетка, выделение строк/ячеек и акцентные состояния в общей теме.</w:t>
      </w:r>
    </w:p>
    <w:p>
      <w:r>
        <w:rPr>
          <w:rFonts w:ascii="Nunito" w:hAnsi="Nunito" w:eastAsia="Nunito"/>
          <w:b/>
          <w:color w:val="3F454F"/>
          <w:sz w:val="21"/>
        </w:rPr>
        <w:t xml:space="preserve">Фото, схемы и чертежи. </w:t>
      </w:r>
      <w:r>
        <w:rPr>
          <w:rFonts w:ascii="Nunito" w:hAnsi="Nunito" w:eastAsia="Nunito"/>
          <w:b w:val="0"/>
          <w:color w:val="3F454F"/>
          <w:sz w:val="21"/>
        </w:rPr>
        <w:t>Определить обрамление изображений: прямоугольник, срезанные углы, подписи, выноски, степень использования плашек.</w:t>
      </w:r>
    </w:p>
    <w:p>
      <w:r>
        <w:rPr>
          <w:rFonts w:ascii="Nunito" w:hAnsi="Nunito" w:eastAsia="Nunito"/>
          <w:b/>
          <w:color w:val="3F454F"/>
          <w:sz w:val="21"/>
        </w:rPr>
        <w:t xml:space="preserve">Диалоги. </w:t>
      </w:r>
      <w:r>
        <w:rPr>
          <w:rFonts w:ascii="Nunito" w:hAnsi="Nunito" w:eastAsia="Nunito"/>
          <w:b w:val="0"/>
          <w:color w:val="3F454F"/>
          <w:sz w:val="21"/>
        </w:rPr>
        <w:t>Нужно разработать персонажей Алексей/Денис, баблы, портреты, фон участка и минимум две локации.</w:t>
      </w:r>
    </w:p>
    <w:p>
      <w:r>
        <w:rPr>
          <w:rFonts w:ascii="Nunito" w:hAnsi="Nunito" w:eastAsia="Nunito"/>
          <w:b/>
          <w:color w:val="3F454F"/>
          <w:sz w:val="21"/>
        </w:rPr>
        <w:t xml:space="preserve">Сквозные элементы. </w:t>
      </w:r>
      <w:r>
        <w:rPr>
          <w:rFonts w:ascii="Nunito" w:hAnsi="Nunito" w:eastAsia="Nunito"/>
          <w:b w:val="0"/>
          <w:color w:val="3F454F"/>
          <w:sz w:val="21"/>
        </w:rPr>
        <w:t>Оформить пример, отсылку к уроку и ссылку на источник так, чтобы они были узнаваемы во всех композициях.</w:t>
      </w:r>
    </w:p>
    <w:p>
      <w:r>
        <w:rPr>
          <w:rFonts w:ascii="Nunito" w:hAnsi="Nunito" w:eastAsia="Nunito"/>
          <w:b/>
          <w:color w:val="3F454F"/>
          <w:sz w:val="21"/>
        </w:rPr>
        <w:t xml:space="preserve">Набор декоративных раскладок. </w:t>
      </w:r>
      <w:r>
        <w:rPr>
          <w:rFonts w:ascii="Nunito" w:hAnsi="Nunito" w:eastAsia="Nunito"/>
          <w:b w:val="0"/>
          <w:color w:val="3F454F"/>
          <w:sz w:val="21"/>
        </w:rPr>
        <w:t>Собрать 6–8 вариантов расположения шестерёнок/перфорации/контуров для автоматического чередования; определить яркие, средние и тихие режимы.</w:t>
      </w:r>
    </w:p>
    <w:p>
      <w:r>
        <w:rPr>
          <w:rFonts w:ascii="Nunito" w:hAnsi="Nunito" w:eastAsia="Nunito"/>
          <w:b/>
          <w:color w:val="3F454F"/>
          <w:sz w:val="21"/>
        </w:rPr>
        <w:t xml:space="preserve">Анимация Morph. </w:t>
      </w:r>
      <w:r>
        <w:rPr>
          <w:rFonts w:ascii="Nunito" w:hAnsi="Nunito" w:eastAsia="Nunito"/>
          <w:b w:val="0"/>
          <w:color w:val="3F454F"/>
          <w:sz w:val="21"/>
        </w:rPr>
        <w:t>Проверить на реальных слайдах переходы «перекатывающихся» шестерёнок и решить, какие формы/размеры должны повторяться между соседними слайдами.</w:t>
      </w:r>
    </w:p>
    <w:p>
      <w:r>
        <w:rPr>
          <w:rFonts w:ascii="Nunito" w:hAnsi="Nunito" w:eastAsia="Nunito"/>
          <w:b/>
          <w:color w:val="3F454F"/>
          <w:sz w:val="21"/>
        </w:rPr>
        <w:t xml:space="preserve">Проверка на шаблонах. </w:t>
      </w:r>
      <w:r>
        <w:rPr>
          <w:rFonts w:ascii="Nunito" w:hAnsi="Nunito" w:eastAsia="Nunito"/>
          <w:b w:val="0"/>
          <w:color w:val="3F454F"/>
          <w:sz w:val="21"/>
        </w:rPr>
        <w:t>Нарисовать несколько ключевых композиций в теме и только после этого фиксировать правила. Минимальный набор: text.plain, case.inline, cards.N, contrast.cause/rightwrong, steps.row.</w:t>
      </w:r>
    </w:p>
    <w:p>
      <w:pPr>
        <w:pStyle w:val="Heading1"/>
        <w:spacing w:before="140" w:after="60"/>
      </w:pPr>
      <w:r>
        <w:t>13. Рекомендуемая точка продолжения в новом чате</w:t>
      </w:r>
    </w:p>
    <w:p>
      <w:r>
        <w:t>Не продолжать придумывать декоративные элементы изолированно. Взять 3–5 ключевых композиций из layout layer и отрисовать их с текущей темой. По результату уточнить фон, плашки, сетку, роли цвета и декоративные режимы.</w:t>
      </w:r>
    </w:p>
    <w:p>
      <w:pPr>
        <w:pStyle w:val="ListNumber"/>
        <w:spacing w:after="40"/>
      </w:pPr>
      <w:r>
        <w:t>1) text.plain — проверить текст прямо на фоне и на тихой плашке.</w:t>
      </w:r>
    </w:p>
    <w:p>
      <w:pPr>
        <w:pStyle w:val="ListNumber"/>
        <w:spacing w:after="40"/>
      </w:pPr>
      <w:r>
        <w:t>2) case.inline — проверить акцентную врезку примера.</w:t>
      </w:r>
    </w:p>
    <w:p>
      <w:pPr>
        <w:pStyle w:val="ListNumber"/>
        <w:spacing w:after="40"/>
      </w:pPr>
      <w:r>
        <w:t>3) cards.N — проверить 2/3/4 карточки и цветовые роли.</w:t>
      </w:r>
    </w:p>
    <w:p>
      <w:pPr>
        <w:pStyle w:val="ListNumber"/>
        <w:spacing w:after="40"/>
      </w:pPr>
      <w:r>
        <w:t>4) contrast.cause или contrast.rightwrong — проверить стрелку и семантический цвет.</w:t>
      </w:r>
    </w:p>
    <w:p>
      <w:pPr>
        <w:pStyle w:val="ListNumber"/>
        <w:spacing w:after="40"/>
      </w:pPr>
      <w:r>
        <w:t>5) steps.row — проверить шаги, цифры и соединители.</w:t>
      </w:r>
    </w:p>
    <w:p>
      <w:pPr>
        <w:pStyle w:val="DesignNote"/>
        <w:jc w:val="right"/>
      </w:pPr>
      <w:r>
        <w:rPr>
          <w:rFonts w:ascii="Nunito" w:hAnsi="Nunito" w:eastAsia="Nunito"/>
          <w:b w:val="0"/>
          <w:color w:val="68707B"/>
          <w:sz w:val="17"/>
        </w:rPr>
        <w:t>Источник layout layer: librarycomposicions.pdf, загруженный в текущем чате.</w:t>
      </w:r>
    </w:p>
    <w:sectPr w:rsidR="00FC693F" w:rsidRPr="0006063C" w:rsidSect="00034616">
      <w:pgSz w:w="12240" w:h="15840"/>
      <w:pgMar w:top="879" w:right="1134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Nunito" w:hAnsi="Nunito"/>
      <w:color w:val="3F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ahnschrift SemiBold Condensed" w:hAnsi="Bahnschrift SemiBold Condensed"/>
      <w:b/>
      <w:bCs/>
      <w:color w:val="3F45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ahnschrift SemiBold Condensed" w:hAnsi="Bahnschrift SemiBold Condensed"/>
      <w:b/>
      <w:bCs/>
      <w:color w:val="3F45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Bahnschrift SemiBold Condensed" w:hAnsi="Bahnschrift SemiBold Condensed"/>
      <w:b/>
      <w:bCs/>
      <w:color w:val="3F45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Bahnschrift SemiBold Condensed" w:hAnsi="Bahnschrift SemiBold Condensed"/>
      <w:color w:val="3F45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ignNote">
    <w:name w:val="DesignNote"/>
    <w:pPr>
      <w:spacing w:after="80"/>
    </w:pPr>
    <w:rPr>
      <w:rFonts w:ascii="Nunito" w:hAnsi="Nunito"/>
      <w:color w:val="68707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