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資産運用業務・アセットマネジメント業務・マーケット業務の比較表（主要グループ別）</w:t>
      </w:r>
    </w:p>
    <w:p>
      <w:pPr>
        <w:spacing w:after="100" w:line="264"/>
      </w:pPr>
      <w:r>
        <w:rPr>
          <w:sz w:val="20"/>
          <w:szCs w:val="20"/>
        </w:rPr>
        <w:t xml:space="preserve">信託銀行グループの「資産運用業務」「アセットマネジメント業務」「マーケット業務」は名称が似ていますが、担い手が異なります。「資産運用業務」は信託銀行本体が受託財産の運用の意思決定を行う業務、「アセットマネジメント業務」はグループの資産運用会社（投信委託会社）が公募・私募ファンドの設定・運用を行う業務、「マーケット業務」は銀行・信託銀行本体の市場部門が資金繰り（ALM）やトレーディングを行う業務です。以下は、主要な信託銀行グループを横軸に、業務種類を縦軸にとり、各業務の取扱い状況を整理したもので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tbl>
      <w:tblPr>
        <w:tblW w:type="dxa" w:w="1539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2040"/>
        <w:gridCol w:w="2040"/>
        <w:gridCol w:w="2040"/>
        <w:gridCol w:w="1600"/>
        <w:gridCol w:w="2400"/>
        <w:gridCol w:w="2078"/>
      </w:tblGrid>
      <w:tr>
        <w:trPr>
          <w:tblHeader/>
        </w:trPr>
        <w:tc>
          <w:tcPr>
            <w:tcW w:type="dxa" w:w="320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業務種類</w:t>
            </w:r>
          </w:p>
        </w:tc>
        <w:tc>
          <w:tcPr>
            <w:tcW w:type="dxa" w:w="204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①みずほ</w:t>
            </w:r>
          </w:p>
          <w:p>
            <w:pPr>
              <w:spacing w:after="0" w:line="216"/>
              <w:jc w:val="center"/>
            </w:pPr>
            <w:r>
              <w:rPr>
                <w:b/>
                <w:bCs/>
                <w:color w:val="FFFFFF"/>
                <w:sz w:val="16"/>
                <w:szCs w:val="16"/>
              </w:rPr>
              <w:t xml:space="preserve">グループ</w:t>
            </w:r>
          </w:p>
        </w:tc>
        <w:tc>
          <w:tcPr>
            <w:tcW w:type="dxa" w:w="204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②三菱UFJ</w:t>
            </w:r>
          </w:p>
          <w:p>
            <w:pPr>
              <w:spacing w:after="0" w:line="216"/>
              <w:jc w:val="center"/>
            </w:pPr>
            <w:r>
              <w:rPr>
                <w:b/>
                <w:bCs/>
                <w:color w:val="FFFFFF"/>
                <w:sz w:val="16"/>
                <w:szCs w:val="16"/>
              </w:rPr>
              <w:t xml:space="preserve">グループ</w:t>
            </w:r>
          </w:p>
        </w:tc>
        <w:tc>
          <w:tcPr>
            <w:tcW w:type="dxa" w:w="204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③りそな</w:t>
            </w:r>
          </w:p>
          <w:p>
            <w:pPr>
              <w:spacing w:after="0" w:line="216"/>
              <w:jc w:val="center"/>
            </w:pPr>
            <w:r>
              <w:rPr>
                <w:b/>
                <w:bCs/>
                <w:color w:val="FFFFFF"/>
                <w:sz w:val="16"/>
                <w:szCs w:val="16"/>
              </w:rPr>
              <w:t xml:space="preserve">グループ</w:t>
            </w:r>
          </w:p>
        </w:tc>
        <w:tc>
          <w:tcPr>
            <w:tcW w:type="dxa" w:w="160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④ゆうちょ</w:t>
            </w:r>
          </w:p>
        </w:tc>
        <w:tc>
          <w:tcPr>
            <w:tcW w:type="dxa" w:w="2400"/>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⑤三井住友</w:t>
            </w:r>
          </w:p>
          <w:p>
            <w:pPr>
              <w:spacing w:after="0" w:line="216"/>
              <w:jc w:val="center"/>
            </w:pPr>
            <w:r>
              <w:rPr>
                <w:b/>
                <w:bCs/>
                <w:color w:val="FFFFFF"/>
                <w:sz w:val="16"/>
                <w:szCs w:val="16"/>
              </w:rPr>
              <w:t xml:space="preserve">グループ</w:t>
            </w:r>
          </w:p>
        </w:tc>
        <w:tc>
          <w:tcPr>
            <w:tcW w:type="dxa" w:w="2078"/>
            <w:shd w:fill="2F5496" w:val="clear"/>
            <w:tcMar>
              <w:top w:type="dxa" w:w="60"/>
              <w:left w:type="dxa" w:w="80"/>
              <w:bottom w:type="dxa" w:w="60"/>
              <w:right w:type="dxa" w:w="80"/>
            </w:tcMar>
            <w:vAlign w:val="center"/>
          </w:tcPr>
          <w:p>
            <w:pPr>
              <w:spacing w:after="0" w:line="216"/>
              <w:jc w:val="center"/>
            </w:pPr>
            <w:r>
              <w:rPr>
                <w:b/>
                <w:bCs/>
                <w:color w:val="FFFFFF"/>
                <w:sz w:val="16"/>
                <w:szCs w:val="16"/>
              </w:rPr>
              <w:t xml:space="preserve">⑦その他</w:t>
            </w:r>
          </w:p>
        </w:tc>
      </w:tr>
      <w:tr>
        <w:trPr>
          <w:cantSplit/>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A. 資産運用業務（信託銀行本体が行う運用受託業務）</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 金銭信託・年金信託の運用の意思決定業務（自家運用）</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i/>
                <w:iCs/>
                <w:color w:val="666666"/>
                <w:sz w:val="12"/>
                <w:szCs w:val="12"/>
              </w:rPr>
              <w:t xml:space="preserve">一部をゆうちょアセットマネジメントへ移管</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p>
            <w:pPr>
              <w:spacing w:after="0" w:line="200"/>
            </w:pPr>
            <w:r>
              <w:rPr>
                <w:sz w:val="14"/>
                <w:szCs w:val="14"/>
              </w:rPr>
              <w:t xml:space="preserve">SMBC信託銀行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2. 投資一任契約に基づく投資顧問業務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3. プライベートアセット（未上場株・インフラ・不動産private debt 等）の運用受託</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B36B00"/>
                <w:sz w:val="17"/>
                <w:szCs w:val="17"/>
              </w:rPr>
              <w:t xml:space="preserve">△</w:t>
            </w:r>
          </w:p>
        </w:tc>
        <w:tc>
          <w:tcPr>
            <w:tcW w:type="dxa" w:w="160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ゆうちょアセットマネジメント</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r>
        <w:trPr>
          <w:cantSplit/>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B. アセットマネジメント業務（グループの資産運用会社による運用業務）</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4. 公募投資信託の設定・運用（委託者）業務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アセットマネジメントOne</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三菱UFJアセットマネジメント</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りそなアセットマネジメント</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p>
            <w:pPr>
              <w:spacing w:after="0" w:line="200"/>
            </w:pPr>
            <w:r>
              <w:rPr>
                <w:i/>
                <w:iCs/>
                <w:color w:val="666666"/>
                <w:sz w:val="12"/>
                <w:szCs w:val="12"/>
              </w:rPr>
              <w:t xml:space="preserve">個人向け公募投信の自社設定は行っていない</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三井住友トラスト・アセットマネジメント</w:t>
            </w:r>
          </w:p>
          <w:p>
            <w:pPr>
              <w:spacing w:after="0" w:line="200"/>
            </w:pPr>
            <w:r>
              <w:rPr>
                <w:sz w:val="14"/>
                <w:szCs w:val="14"/>
              </w:rPr>
              <w:t xml:space="preserve">三井住友DSアセットマネジメント</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野村アセットマネジメント</w:t>
            </w:r>
          </w:p>
          <w:p>
            <w:pPr>
              <w:spacing w:after="0" w:line="200"/>
            </w:pPr>
            <w:r>
              <w:rPr>
                <w:sz w:val="14"/>
                <w:szCs w:val="14"/>
              </w:rPr>
              <w:t xml:space="preserve">大和アセットマネジメント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5. 確定拠出年金（DC）向け運用商品の提供</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アセットマネジメントOne</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三菱UFJアセットマネジメント</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りそなアセットマネジメント</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三井住友トラスト・アセットマネジメント 等</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野村アセットマネジメント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6. 機関投資家向け（年金基金・GPIF 等）運用受託業務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アセットマネジメントOne</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三菱UFJアセットマネジメント</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りそなアセットマネジメント</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三井住友トラスト・アセットマネジメント</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野村アセットマネジメント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7. オルタナティブ投資運用（PE・不動産ファンド・ヘッジファンド 等）</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アセットマネジメントOne 等</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三菱UFJアセットマネジメント 等</w:t>
            </w:r>
          </w:p>
        </w:tc>
        <w:tc>
          <w:tcPr>
            <w:tcW w:type="dxa" w:w="2040"/>
            <w:tcMar>
              <w:top w:type="dxa" w:w="50"/>
              <w:left w:type="dxa" w:w="60"/>
              <w:bottom w:type="dxa" w:w="50"/>
              <w:right w:type="dxa" w:w="60"/>
            </w:tcMar>
            <w:vAlign w:val="center"/>
          </w:tcPr>
          <w:p>
            <w:pPr>
              <w:spacing w:after="0" w:line="216"/>
            </w:pPr>
            <w:r>
              <w:rPr>
                <w:b/>
                <w:bCs/>
                <w:color w:val="B36B00"/>
                <w:sz w:val="17"/>
                <w:szCs w:val="17"/>
              </w:rPr>
              <w:t xml:space="preserve">△</w:t>
            </w:r>
          </w:p>
        </w:tc>
        <w:tc>
          <w:tcPr>
            <w:tcW w:type="dxa" w:w="160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sz w:val="14"/>
                <w:szCs w:val="14"/>
              </w:rPr>
              <w:t xml:space="preserve">ゆうちょアセットマネジメント</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三井住友トラスト・アセットマネジメント 等</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r>
        <w:trPr>
          <w:cantSplit/>
        </w:trPr>
        <w:tc>
          <w:tcPr>
            <w:tcW w:type="dxa" w:w="15398"/>
            <w:gridSpan w:val="7"/>
            <w:shd w:fill="D9E2F3" w:val="clear"/>
            <w:tcMar>
              <w:top w:type="dxa" w:w="60"/>
              <w:left w:type="dxa" w:w="100"/>
              <w:bottom w:type="dxa" w:w="60"/>
              <w:right w:type="dxa" w:w="80"/>
            </w:tcMar>
          </w:tcPr>
          <w:p>
            <w:pPr>
              <w:spacing w:after="0" w:line="216"/>
              <w:jc w:val="left"/>
            </w:pPr>
            <w:r>
              <w:rPr>
                <w:b/>
                <w:bCs/>
                <w:color w:val="1F3864"/>
                <w:sz w:val="16"/>
                <w:szCs w:val="16"/>
              </w:rPr>
              <w:t xml:space="preserve">C. マーケット業務（市場部門・トレーディング・ALM）</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8. 資金繰り・ALM業務（円貨・外貨の調達・運用管理）</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みずほ銀行</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三菱UFJ銀行</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p>
            <w:pPr>
              <w:spacing w:after="0" w:line="200"/>
            </w:pPr>
            <w:r>
              <w:rPr>
                <w:sz w:val="14"/>
                <w:szCs w:val="14"/>
              </w:rPr>
              <w:t xml:space="preserve">埼玉りそな銀行</w:t>
            </w:r>
          </w:p>
        </w:tc>
        <w:tc>
          <w:tcPr>
            <w:tcW w:type="dxa" w:w="16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ゆうちょ銀行</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三井住友銀行</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野村信託銀行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9. 債券・為替・デリバティブのセールス＆トレーディング業務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みずほ銀行</w:t>
            </w:r>
          </w:p>
          <w:p>
            <w:pPr>
              <w:spacing w:after="0" w:line="200"/>
            </w:pPr>
            <w:r>
              <w:rPr>
                <w:sz w:val="14"/>
                <w:szCs w:val="14"/>
              </w:rPr>
              <w:t xml:space="preserve">みずほ証券</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三菱UFJ銀行</w:t>
            </w:r>
          </w:p>
          <w:p>
            <w:pPr>
              <w:spacing w:after="0" w:line="200"/>
            </w:pPr>
            <w:r>
              <w:rPr>
                <w:sz w:val="14"/>
                <w:szCs w:val="14"/>
              </w:rPr>
              <w:t xml:space="preserve">三菱UFJモルガン・スタンレー証券</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B36B00"/>
                <w:sz w:val="17"/>
                <w:szCs w:val="17"/>
              </w:rPr>
              <w:t xml:space="preserve">△</w:t>
            </w:r>
          </w:p>
          <w:p>
            <w:pPr>
              <w:spacing w:after="0" w:line="200"/>
            </w:pPr>
            <w:r>
              <w:rPr>
                <w:i/>
                <w:iCs/>
                <w:color w:val="666666"/>
                <w:sz w:val="12"/>
                <w:szCs w:val="12"/>
              </w:rPr>
              <w:t xml:space="preserve">自己勘定運用が中心で対顧客セールスは限定的</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三井住友銀行</w:t>
            </w:r>
          </w:p>
          <w:p>
            <w:pPr>
              <w:spacing w:after="0" w:line="200"/>
            </w:pPr>
            <w:r>
              <w:rPr>
                <w:sz w:val="14"/>
                <w:szCs w:val="14"/>
              </w:rPr>
              <w:t xml:space="preserve">SMBC日興証券</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10. 有価証券への自己勘定投資業務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みずほ銀行</w:t>
            </w:r>
          </w:p>
          <w:p>
            <w:pPr>
              <w:spacing w:after="0" w:line="200"/>
            </w:pPr>
            <w:r>
              <w:rPr>
                <w:sz w:val="14"/>
                <w:szCs w:val="14"/>
              </w:rPr>
              <w:t xml:space="preserve">みずほ信託銀行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三菱UFJ銀行</w:t>
            </w:r>
          </w:p>
          <w:p>
            <w:pPr>
              <w:spacing w:after="0" w:line="200"/>
            </w:pPr>
            <w:r>
              <w:rPr>
                <w:sz w:val="14"/>
                <w:szCs w:val="14"/>
              </w:rPr>
              <w:t xml:space="preserve">三菱UFJ信託銀行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ゆうちょ銀行</w:t>
            </w:r>
          </w:p>
          <w:p>
            <w:pPr>
              <w:spacing w:after="0" w:line="200"/>
            </w:pPr>
            <w:r>
              <w:rPr>
                <w:i/>
                <w:iCs/>
                <w:color w:val="666666"/>
                <w:sz w:val="12"/>
                <w:szCs w:val="12"/>
              </w:rPr>
              <w:t xml:space="preserve">国債等を中心とした自己運用が主要収益源</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三井住友銀行</w:t>
            </w:r>
          </w:p>
          <w:p>
            <w:pPr>
              <w:spacing w:after="0" w:line="200"/>
            </w:pPr>
            <w:r>
              <w:rPr>
                <w:sz w:val="14"/>
                <w:szCs w:val="14"/>
              </w:rPr>
              <w:t xml:space="preserve">三井住友信託銀行</w:t>
            </w:r>
          </w:p>
        </w:tc>
        <w:tc>
          <w:tcPr>
            <w:tcW w:type="dxa" w:w="2078"/>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農中信託銀行 等</w:t>
            </w:r>
          </w:p>
        </w:tc>
      </w:tr>
      <w:tr>
        <w:trPr>
          <w:cantSplit/>
        </w:trPr>
        <w:tc>
          <w:tcPr>
            <w:tcW w:type="dxa" w:w="3200"/>
            <w:tcMar>
              <w:top w:type="dxa" w:w="50"/>
              <w:left w:type="dxa" w:w="80"/>
              <w:bottom w:type="dxa" w:w="50"/>
              <w:right w:type="dxa" w:w="80"/>
            </w:tcMar>
            <w:vAlign w:val="center"/>
          </w:tcPr>
          <w:p>
            <w:pPr>
              <w:spacing w:after="0" w:line="216"/>
              <w:jc w:val="left"/>
            </w:pPr>
            <w:r>
              <w:rPr>
                <w:b w:val="false"/>
                <w:bCs w:val="false"/>
                <w:sz w:val="15"/>
                <w:szCs w:val="15"/>
              </w:rPr>
              <w:t xml:space="preserve">11. 法人向け為替・デリバティブ商品の提供（マーケティング）業務</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みずほ銀行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三菱UFJ銀行</w:t>
            </w:r>
          </w:p>
        </w:tc>
        <w:tc>
          <w:tcPr>
            <w:tcW w:type="dxa" w:w="204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りそな銀行</w:t>
            </w:r>
          </w:p>
        </w:tc>
        <w:tc>
          <w:tcPr>
            <w:tcW w:type="dxa" w:w="1600"/>
            <w:tcMar>
              <w:top w:type="dxa" w:w="50"/>
              <w:left w:type="dxa" w:w="60"/>
              <w:bottom w:type="dxa" w:w="50"/>
              <w:right w:type="dxa" w:w="60"/>
            </w:tcMar>
            <w:vAlign w:val="center"/>
          </w:tcPr>
          <w:p>
            <w:pPr>
              <w:spacing w:after="0" w:line="216"/>
            </w:pPr>
            <w:r>
              <w:rPr>
                <w:b/>
                <w:bCs/>
                <w:color w:val="999999"/>
                <w:sz w:val="17"/>
                <w:szCs w:val="17"/>
              </w:rPr>
              <w:t xml:space="preserve">×</w:t>
            </w:r>
          </w:p>
        </w:tc>
        <w:tc>
          <w:tcPr>
            <w:tcW w:type="dxa" w:w="2400"/>
            <w:tcMar>
              <w:top w:type="dxa" w:w="50"/>
              <w:left w:type="dxa" w:w="60"/>
              <w:bottom w:type="dxa" w:w="50"/>
              <w:right w:type="dxa" w:w="60"/>
            </w:tcMar>
            <w:vAlign w:val="center"/>
          </w:tcPr>
          <w:p>
            <w:pPr>
              <w:spacing w:after="0" w:line="216"/>
            </w:pPr>
            <w:r>
              <w:rPr>
                <w:b/>
                <w:bCs/>
                <w:color w:val="1F6F43"/>
                <w:sz w:val="17"/>
                <w:szCs w:val="17"/>
              </w:rPr>
              <w:t xml:space="preserve">○</w:t>
            </w:r>
          </w:p>
          <w:p>
            <w:pPr>
              <w:spacing w:after="0" w:line="200"/>
            </w:pPr>
            <w:r>
              <w:rPr>
                <w:sz w:val="14"/>
                <w:szCs w:val="14"/>
              </w:rPr>
              <w:t xml:space="preserve">三井住友銀行</w:t>
            </w:r>
          </w:p>
        </w:tc>
        <w:tc>
          <w:tcPr>
            <w:tcW w:type="dxa" w:w="2078"/>
            <w:tcMar>
              <w:top w:type="dxa" w:w="50"/>
              <w:left w:type="dxa" w:w="60"/>
              <w:bottom w:type="dxa" w:w="50"/>
              <w:right w:type="dxa" w:w="60"/>
            </w:tcMar>
            <w:vAlign w:val="center"/>
          </w:tcPr>
          <w:p>
            <w:pPr>
              <w:spacing w:after="0" w:line="216"/>
            </w:pPr>
            <w:r>
              <w:rPr>
                <w:b/>
                <w:bCs/>
                <w:color w:val="B36B00"/>
                <w:sz w:val="17"/>
                <w:szCs w:val="17"/>
              </w:rPr>
              <w:t xml:space="preserve">△</w:t>
            </w:r>
          </w:p>
        </w:tc>
      </w:tr>
    </w:tbl>
    <w:p>
      <w:pPr>
        <w:spacing w:before="200"/>
      </w:pPr>
    </w:p>
    <w:p>
      <w:pPr>
        <w:pStyle w:val="Heading2"/>
        <w:spacing w:after="80" w:before="160"/>
      </w:pPr>
      <w:r>
        <w:rPr>
          <w:b/>
          <w:bCs/>
          <w:color w:val="2F5496"/>
          <w:sz w:val="22"/>
          <w:szCs w:val="22"/>
        </w:rPr>
        <w:t xml:space="preserve">グループ区分について（注記）</w:t>
      </w:r>
    </w:p>
    <w:p>
      <w:pPr>
        <w:spacing w:after="40" w:line="240"/>
        <w:ind w:left="260"/>
      </w:pPr>
      <w:r>
        <w:rPr>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ectPr>
          <w:pgSz w:w="16838" w:h="11906" w:orient="landscape"/>
          <w:pgMar w:top="700" w:right="720" w:bottom="700" w:left="72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60"/>
              <w:left w:type="dxa" w:w="80"/>
              <w:bottom w:type="dxa" w:w="60"/>
              <w:right w:type="dxa" w:w="80"/>
            </w:tcMar>
            <w:vAlign w:val="center"/>
          </w:tcPr>
          <w:p>
            <w:pPr>
              <w:spacing w:after="0" w:line="216"/>
              <w:jc w:val="center"/>
            </w:pPr>
            <w:r>
              <w:rPr>
                <w:b/>
                <w:bCs/>
                <w:color w:val="FFFFFF"/>
                <w:sz w:val="18"/>
                <w:szCs w:val="18"/>
              </w:rPr>
              <w:t xml:space="preserve">業務種類</w:t>
            </w:r>
          </w:p>
        </w:tc>
        <w:tc>
          <w:tcPr>
            <w:tcW w:type="dxa" w:w="7266"/>
            <w:shd w:fill="2F5496" w:val="clear"/>
            <w:tcMar>
              <w:top w:type="dxa" w:w="60"/>
              <w:left w:type="dxa" w:w="80"/>
              <w:bottom w:type="dxa" w:w="60"/>
              <w:right w:type="dxa" w:w="80"/>
            </w:tcMar>
            <w:vAlign w:val="center"/>
          </w:tcPr>
          <w:p>
            <w:pPr>
              <w:spacing w:after="0" w:line="216"/>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A. 資産運用業務（信託銀行本体が行う運用受託業務）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 金銭信託・年金信託の運用の意思決定業務（自家運用）</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2. 投資一任契約に基づく投資顧問業務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3. プライベートアセット（未上場株・インフラ・不動産private debt 等）の運用受託</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B. アセットマネジメント業務（グループの資産運用会社による運用業務）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4. 公募投資信託の設定・運用（委託者）業務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5. 確定拠出年金（DC）向け運用商品の提供</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企業型・個人型（iDeCo）確定拠出年金の加入者向けに、投資信託等の運用商品ラインナップを提供する業務。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6. 機関投資家向け（年金基金・GPIF 等）運用受託業務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7. オルタナティブ投資運用（PE・不動産ファンド・ヘッジファンド 等）</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0466"/>
            <w:gridSpan w:val="2"/>
            <w:shd w:fill="D9E2F3" w:val="clear"/>
            <w:tcMar>
              <w:top w:type="dxa" w:w="60"/>
              <w:left w:type="dxa" w:w="100"/>
              <w:bottom w:type="dxa" w:w="60"/>
              <w:right w:type="dxa" w:w="80"/>
            </w:tcMar>
          </w:tcPr>
          <w:p>
            <w:pPr>
              <w:spacing w:after="0" w:line="216"/>
              <w:jc w:val="left"/>
            </w:pPr>
            <w:r>
              <w:rPr>
                <w:b/>
                <w:bCs/>
                <w:color w:val="1F3864"/>
                <w:sz w:val="16"/>
                <w:szCs w:val="16"/>
              </w:rPr>
              <w:t xml:space="preserve">C. マーケット業務（市場部門・トレーディング・ALM）</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8. 資金繰り・ALM業務（円貨・外貨の調達・運用管理）</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9. 債券・為替・デリバティブのセールス＆トレーディング業務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国債・社債、外国為替、金利・為替デリバティブ等の市場性商品を、自己勘定および顧客向けに売買する業務。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10. 有価証券への自己勘定投資業務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自己の資金を用いて国債・社債・株式等の有価証券に投資し、運用収益を獲得する業務。</w:t>
            </w:r>
          </w:p>
        </w:tc>
      </w:tr>
      <w:tr>
        <w:trPr>
          <w:cantSplit/>
        </w:trPr>
        <w:tc>
          <w:tcPr>
            <w:tcW w:type="dxa" w:w="3200"/>
            <w:tcMar>
              <w:top w:type="dxa" w:w="60"/>
              <w:left w:type="dxa" w:w="80"/>
              <w:bottom w:type="dxa" w:w="60"/>
              <w:right w:type="dxa" w:w="80"/>
            </w:tcMar>
            <w:vAlign w:val="center"/>
          </w:tcPr>
          <w:p>
            <w:pPr>
              <w:spacing w:after="0" w:line="216"/>
              <w:jc w:val="left"/>
            </w:pPr>
            <w:r>
              <w:rPr>
                <w:b/>
                <w:bCs/>
                <w:sz w:val="16"/>
                <w:szCs w:val="16"/>
              </w:rPr>
              <w:t xml:space="preserve">11. 法人向け為替・デリバティブ商品の提供（マーケティング）業務</w:t>
            </w:r>
          </w:p>
        </w:tc>
        <w:tc>
          <w:tcPr>
            <w:tcW w:type="dxa" w:w="7266"/>
            <w:tcMar>
              <w:top w:type="dxa" w:w="60"/>
              <w:left w:type="dxa" w:w="100"/>
              <w:bottom w:type="dxa" w:w="60"/>
              <w:right w:type="dxa" w:w="100"/>
            </w:tcMar>
            <w:vAlign w:val="center"/>
          </w:tcPr>
          <w:p>
            <w:pPr>
              <w:spacing w:after="0" w:line="216"/>
              <w:jc w:val="left"/>
            </w:pPr>
            <w:r>
              <w:rPr>
                <w:b w:val="false"/>
                <w:bCs w:val="false"/>
                <w:sz w:val="17"/>
                <w:szCs w:val="17"/>
              </w:rPr>
              <w:t xml:space="preserve">事業法人の為替リスク・金利リスクのヘッジニーズに対応し、為替予約やデリバティブ商品を組成・販売する業務。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2026-08-22T14:20:54.804Z</dcterms:created>
  <dcterms:modified xsi:type="dcterms:W3CDTF">2026-08-22T14:20:54.805Z</dcterms:modified>
</cp:coreProperties>
</file>

<file path=docProps/custom.xml><?xml version="1.0" encoding="utf-8"?>
<Properties xmlns="http://schemas.openxmlformats.org/officeDocument/2006/custom-properties" xmlns:vt="http://schemas.openxmlformats.org/officeDocument/2006/docPropsVTypes"/>
</file>