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napToGrid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napToGrid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整理したものです。列数が多いと文字が読みにくくなるため、グループを①〜③（前半）と④〜⑦（後半）の2つの表に分けて掲載していま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p>
      <w:pPr>
        <w:pStyle w:val="Heading2"/>
        <w:keepNext/>
        <w:spacing w:after="80" w:before="160"/>
      </w:pPr>
      <w:r>
        <w:rPr>
          <w:b/>
          <w:bCs/>
          <w:snapToGrid w:val="false"/>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①みずほ</w:t>
            </w:r>
            <w:r>
              <w:rPr>
                <w:b/>
                <w:bCs/>
                <w:snapToGrid w:val="false"/>
                <w:color w:val="FFFFFF"/>
                <w:sz w:val="24"/>
                <w:szCs w:val="24"/>
              </w:rPr>
              <w:b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②三菱UFJ</w:t>
            </w:r>
            <w:r>
              <w:rPr>
                <w:b/>
                <w:bCs/>
                <w:snapToGrid w:val="false"/>
                <w:color w:val="FFFFFF"/>
                <w:sz w:val="24"/>
                <w:szCs w:val="24"/>
              </w:rPr>
              <w:b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③りそな</w:t>
            </w:r>
            <w:r>
              <w:rPr>
                <w:b/>
                <w:bCs/>
                <w:snapToGrid w:val="false"/>
                <w:color w:val="FFFFFF"/>
                <w:sz w:val="24"/>
                <w:szCs w:val="24"/>
              </w:rPr>
              <w:br/>
              <w:t xml:space="preserve">グループ</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金銭信託・年金信託の運用の意思決定業務（自家運用）</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投資一任契約に基づく投資顧問業務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プライベートアセット（未上場株・インフラ・不動産private debt 等）の運用受託</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公募投資信託の設定・運用（委託者）業務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アセットマネジメントOne</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三菱UFJアセットマネジメント</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確定拠出年金（DC）向け運用商品の提供</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アセットマネジメントOne</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三菱UFJアセットマネジメント</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機関投資家向け（年金基金・GPIF 等）運用受託業務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アセットマネジメントOne</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三菱UFJアセットマネジメント</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りそなアセットマネジメント</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オルタナティブ投資運用（PE・不動産ファンド・ヘッジファンド 等）</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アセットマネジメントOne 等</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三菱UFJアセットマネジメント 等</w:t>
            </w:r>
          </w:p>
        </w:tc>
        <w:tc>
          <w:tcPr>
            <w:tcW w:type="dxa" w:w="3662"/>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資金繰り・ALM業務（円貨・外貨の調達・運用管理）</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みずほ銀行</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三菱UFJ銀行</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r>
              <w:rPr>
                <w:snapToGrid w:val="false"/>
                <w:sz w:val="20"/>
                <w:szCs w:val="20"/>
              </w:rPr>
              <w:br/>
              <w:t xml:space="preserve">埼玉りそな銀行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債券・為替・デリバティブのセールス＆トレーディング業務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みずほ銀行</w:t>
            </w:r>
            <w:r>
              <w:rPr>
                <w:snapToGrid w:val="false"/>
                <w:sz w:val="20"/>
                <w:szCs w:val="20"/>
              </w:rPr>
              <w:br/>
              <w:t xml:space="preserve">みずほ証券</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三菱UFJ銀行</w:t>
            </w:r>
            <w:r>
              <w:rPr>
                <w:snapToGrid w:val="false"/>
                <w:sz w:val="20"/>
                <w:szCs w:val="20"/>
              </w:rPr>
              <w:br/>
              <w:t xml:space="preserve">三菱UFJモルガン・スタンレー証券</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有価証券への自己勘定投資業務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みずほ銀行</w:t>
            </w:r>
            <w:r>
              <w:rPr>
                <w:snapToGrid w:val="false"/>
                <w:sz w:val="20"/>
                <w:szCs w:val="20"/>
              </w:rPr>
              <w:br/>
              <w:t xml:space="preserve">みずほ信託銀行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三菱UFJ銀行</w:t>
            </w:r>
            <w:r>
              <w:rPr>
                <w:snapToGrid w:val="false"/>
                <w:sz w:val="20"/>
                <w:szCs w:val="20"/>
              </w:rPr>
              <w:br/>
              <w:t xml:space="preserve">三菱UFJ信託銀行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法人向け為替・デリバティブ商品の提供（マーケティング）業務</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みずほ銀行</w:t>
            </w:r>
          </w:p>
        </w:tc>
        <w:tc>
          <w:tcPr>
            <w:tcW w:type="dxa" w:w="3663"/>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三菱UFJ銀行</w:t>
            </w:r>
          </w:p>
        </w:tc>
        <w:tc>
          <w:tcPr>
            <w:tcW w:type="dxa" w:w="3662"/>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りそな銀行</w:t>
            </w:r>
          </w:p>
        </w:tc>
      </w:tr>
    </w:tbl>
    <w:p>
      <w:pPr>
        <w:pStyle w:val="Heading2"/>
        <w:keepNext/>
        <w:spacing w:after="80" w:before="160"/>
      </w:pPr>
      <w:r>
        <w:rPr>
          <w:b/>
          <w:bCs/>
          <w:snapToGrid w:val="false"/>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⑤三井住友</w:t>
            </w:r>
            <w:r>
              <w:rPr>
                <w:b/>
                <w:bCs/>
                <w:snapToGrid w:val="false"/>
                <w:color w:val="FFFFFF"/>
                <w:sz w:val="24"/>
                <w:szCs w:val="24"/>
              </w:rPr>
              <w:b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snapToGrid w:val="false"/>
                <w:color w:val="FFFFFF"/>
                <w:sz w:val="24"/>
                <w:szCs w:val="24"/>
              </w:rPr>
              <w:t xml:space="preserve">⑦その他</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A. 資産運用業務（信託銀行本体が行う運用受託業務）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 金銭信託・年金信託の運用の意思決定業務（自家運用）</w:t>
            </w:r>
          </w:p>
        </w:tc>
        <w:tc>
          <w:tcPr>
            <w:tcW w:type="dxa" w:w="3050"/>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i/>
                <w:iCs/>
                <w:snapToGrid w:val="false"/>
                <w:color w:val="666666"/>
                <w:sz w:val="16"/>
                <w:szCs w:val="16"/>
              </w:rPr>
              <w:br/>
              <w:t xml:space="preserve">一部をゆうちょアセットマネジメントへ移管</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r>
              <w:rPr>
                <w:snapToGrid w:val="false"/>
                <w:sz w:val="20"/>
                <w:szCs w:val="20"/>
              </w:rPr>
              <w:br/>
              <w:t xml:space="preserve">SMBC信託銀行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2. 投資一任契約に基づく投資顧問業務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3. プライベートアセット（未上場株・インフラ・不動産private debt 等）の運用受託</w:t>
            </w:r>
          </w:p>
        </w:tc>
        <w:tc>
          <w:tcPr>
            <w:tcW w:type="dxa" w:w="3050"/>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ゆうちょアセットマネジメント</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B. アセットマネジメント業務（グループの資産運用会社による運用業務）</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4. 公募投資信託の設定・運用（委託者）業務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r>
              <w:rPr>
                <w:i/>
                <w:iCs/>
                <w:snapToGrid w:val="false"/>
                <w:color w:val="666666"/>
                <w:sz w:val="16"/>
                <w:szCs w:val="16"/>
              </w:rPr>
              <w:br/>
              <w:t xml:space="preserve">個人向け公募投信の自社設定は行っていない</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三井住友トラスト・アセットマネジメント</w:t>
            </w:r>
            <w:r>
              <w:rPr>
                <w:snapToGrid w:val="false"/>
                <w:sz w:val="20"/>
                <w:szCs w:val="20"/>
              </w:rPr>
              <w:br/>
              <w:t xml:space="preserve">三井住友DSアセットマネジメント</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野村アセットマネジメント</w:t>
            </w:r>
            <w:r>
              <w:rPr>
                <w:snapToGrid w:val="false"/>
                <w:sz w:val="20"/>
                <w:szCs w:val="20"/>
              </w:rPr>
              <w:br/>
              <w:t xml:space="preserve">大和アセットマネジメント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5. 確定拠出年金（DC）向け運用商品の提供</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三井住友トラスト・アセットマネジメント 等</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6. 機関投資家向け（年金基金・GPIF 等）運用受託業務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三井住友トラスト・アセットマネジメント</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野村アセットマネジメント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7. オルタナティブ投資運用（PE・不動産ファンド・ヘッジファンド 等）</w:t>
            </w:r>
          </w:p>
        </w:tc>
        <w:tc>
          <w:tcPr>
            <w:tcW w:type="dxa" w:w="3050"/>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snapToGrid w:val="false"/>
                <w:sz w:val="20"/>
                <w:szCs w:val="20"/>
              </w:rPr>
              <w:br/>
              <w:t xml:space="preserve">ゆうちょアセットマネジメント</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三井住友トラスト・アセットマネジメント 等</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snapToGrid w:val="false"/>
                <w:color w:val="1F3864"/>
                <w:sz w:val="22"/>
                <w:szCs w:val="22"/>
              </w:rPr>
              <w:t xml:space="preserve">C. マーケット業務（市場部門・トレーディング・ALM）</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8. 資金繰り・ALM業務（円貨・外貨の調達・運用管理）</w:t>
            </w:r>
          </w:p>
        </w:tc>
        <w:tc>
          <w:tcPr>
            <w:tcW w:type="dxa" w:w="305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ゆうちょ銀行</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三井住友銀行</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野村信託銀行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9. 債券・為替・デリバティブのセールス＆トレーディング業務</w:t>
            </w:r>
          </w:p>
        </w:tc>
        <w:tc>
          <w:tcPr>
            <w:tcW w:type="dxa" w:w="3050"/>
            <w:tcMar>
              <w:top w:type="dxa" w:w="90"/>
              <w:left w:type="dxa" w:w="90"/>
              <w:bottom w:type="dxa" w:w="90"/>
              <w:right w:type="dxa" w:w="90"/>
            </w:tcMar>
            <w:vAlign w:val="center"/>
          </w:tcPr>
          <w:p>
            <w:pPr>
              <w:spacing w:after="0" w:line="280"/>
            </w:pPr>
            <w:r>
              <w:rPr>
                <w:b/>
                <w:bCs/>
                <w:snapToGrid w:val="false"/>
                <w:color w:val="B36B00"/>
                <w:sz w:val="26"/>
                <w:szCs w:val="26"/>
              </w:rPr>
              <w:t xml:space="preserve">△</w:t>
            </w:r>
            <w:r>
              <w:rPr>
                <w:i/>
                <w:iCs/>
                <w:snapToGrid w:val="false"/>
                <w:color w:val="666666"/>
                <w:sz w:val="16"/>
                <w:szCs w:val="16"/>
              </w:rPr>
              <w:br/>
              <w:t xml:space="preserve">自己勘定運用が中心で対顧客セールスは限定的</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三井住友銀行</w:t>
            </w:r>
            <w:r>
              <w:rPr>
                <w:snapToGrid w:val="false"/>
                <w:sz w:val="20"/>
                <w:szCs w:val="20"/>
              </w:rPr>
              <w:br/>
              <w:t xml:space="preserve">SMBC日興証券</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10. 有価証券への自己勘定投資業務</w:t>
            </w:r>
          </w:p>
        </w:tc>
        <w:tc>
          <w:tcPr>
            <w:tcW w:type="dxa" w:w="305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ゆうちょ銀行</w:t>
            </w:r>
            <w:r>
              <w:rPr>
                <w:i/>
                <w:iCs/>
                <w:snapToGrid w:val="false"/>
                <w:color w:val="666666"/>
                <w:sz w:val="16"/>
                <w:szCs w:val="16"/>
              </w:rPr>
              <w:br/>
              <w:t xml:space="preserve">国債等を中心とした自己運用が主要収益源</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三井住友銀行</w:t>
            </w:r>
            <w:r>
              <w:rPr>
                <w:snapToGrid w:val="false"/>
                <w:sz w:val="20"/>
                <w:szCs w:val="20"/>
              </w:rPr>
              <w:br/>
              <w:t xml:space="preserve">三井住友信託銀行</w:t>
            </w:r>
          </w:p>
        </w:tc>
        <w:tc>
          <w:tcPr>
            <w:tcW w:type="dxa" w:w="3638"/>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農中信託銀行 等</w:t>
            </w:r>
          </w:p>
        </w:tc>
      </w:tr>
      <w:tr>
        <w:tc>
          <w:tcPr>
            <w:tcW w:type="dxa" w:w="4450"/>
            <w:tcMar>
              <w:top w:type="dxa" w:w="90"/>
              <w:left w:type="dxa" w:w="110"/>
              <w:bottom w:type="dxa" w:w="90"/>
              <w:right w:type="dxa" w:w="110"/>
            </w:tcMar>
            <w:vAlign w:val="center"/>
          </w:tcPr>
          <w:p>
            <w:pPr>
              <w:spacing w:after="0" w:line="260"/>
              <w:jc w:val="left"/>
            </w:pPr>
            <w:r>
              <w:rPr>
                <w:b w:val="false"/>
                <w:bCs w:val="false"/>
                <w:snapToGrid w:val="false"/>
                <w:sz w:val="21"/>
                <w:szCs w:val="21"/>
              </w:rPr>
              <w:t xml:space="preserve">11. 法人向け為替・デリバティブ商品の提供（マーケティング）業務</w:t>
            </w:r>
          </w:p>
        </w:tc>
        <w:tc>
          <w:tcPr>
            <w:tcW w:type="dxa" w:w="3050"/>
            <w:tcMar>
              <w:top w:type="dxa" w:w="90"/>
              <w:left w:type="dxa" w:w="90"/>
              <w:bottom w:type="dxa" w:w="90"/>
              <w:right w:type="dxa" w:w="90"/>
            </w:tcMar>
            <w:vAlign w:val="center"/>
          </w:tcPr>
          <w:p>
            <w:pPr>
              <w:spacing w:after="0" w:line="280"/>
            </w:pPr>
            <w:r>
              <w:rPr>
                <w:b/>
                <w:bCs/>
                <w:snapToGrid w:val="false"/>
                <w:color w:val="999999"/>
                <w:sz w:val="26"/>
                <w:szCs w:val="26"/>
              </w:rPr>
              <w:t xml:space="preserve">×</w:t>
            </w:r>
          </w:p>
        </w:tc>
        <w:tc>
          <w:tcPr>
            <w:tcW w:type="dxa" w:w="4300"/>
            <w:tcMar>
              <w:top w:type="dxa" w:w="90"/>
              <w:left w:type="dxa" w:w="90"/>
              <w:bottom w:type="dxa" w:w="90"/>
              <w:right w:type="dxa" w:w="90"/>
            </w:tcMar>
            <w:vAlign w:val="center"/>
          </w:tcPr>
          <w:p>
            <w:pPr>
              <w:spacing w:after="0" w:line="280"/>
            </w:pPr>
            <w:r>
              <w:rPr>
                <w:b/>
                <w:bCs/>
                <w:snapToGrid w:val="false"/>
                <w:color w:val="1F6F43"/>
                <w:sz w:val="26"/>
                <w:szCs w:val="26"/>
              </w:rPr>
              <w:t xml:space="preserve">○</w:t>
            </w:r>
            <w:r>
              <w:rPr>
                <w:snapToGrid w:val="false"/>
                <w:sz w:val="20"/>
                <w:szCs w:val="20"/>
              </w:rPr>
              <w:br/>
              <w:t xml:space="preserve">三井住友銀行</w:t>
            </w:r>
          </w:p>
        </w:tc>
        <w:tc>
          <w:tcPr>
            <w:tcW w:type="dxa" w:w="3638"/>
            <w:tcMar>
              <w:top w:type="dxa" w:w="90"/>
              <w:left w:type="dxa" w:w="90"/>
              <w:bottom w:type="dxa" w:w="90"/>
              <w:right w:type="dxa" w:w="90"/>
            </w:tcMar>
            <w:vAlign w:val="center"/>
          </w:tcPr>
          <w:p>
            <w:pPr>
              <w:spacing w:after="0" w:line="280"/>
            </w:pPr>
            <w:r>
              <w:rPr>
                <w:b/>
                <w:bCs/>
                <w:snapToGrid w:val="false"/>
                <w:color w:val="B36B00"/>
                <w:sz w:val="26"/>
                <w:szCs w:val="26"/>
              </w:rPr>
              <w:t xml:space="preserve">△</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napToGrid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上表で用いた11の業務種類について、それぞれの業務内容を簡潔にまとめた一覧です。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110"/>
              <w:left w:type="dxa" w:w="110"/>
              <w:bottom w:type="dxa" w:w="110"/>
              <w:right w:type="dxa" w:w="11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アセットマネジメント業務（グループの資産運用会社による運用業務）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オルタナティブ投資運用（PE・不動産ファンド・ヘッジファンド 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有価証券への自己勘定投資業務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自己の資金を用いて国債・社債・株式等の有価証券に投資し、運用収益を獲得する業務。</w:t>
            </w:r>
          </w:p>
        </w:tc>
      </w:tr>
      <w:t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2026-08-22T15:23:34.081Z</dcterms:created>
  <dcterms:modified xsi:type="dcterms:W3CDTF">2026-08-22T15:23:34.081Z</dcterms:modified>
</cp:coreProperties>
</file>

<file path=docProps/custom.xml><?xml version="1.0" encoding="utf-8"?>
<Properties xmlns="http://schemas.openxmlformats.org/officeDocument/2006/custom-properties" xmlns:vt="http://schemas.openxmlformats.org/officeDocument/2006/docPropsVTypes"/>
</file>