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pStyle w:val="Heading2"/>
        <w:keepNext w:val="false"/>
        <w:spacing w:after="80" w:before="160"/>
      </w:pPr>
      <w:r>
        <w:rPr>
          <w:b/>
          <w:bCs/>
          <w:snapToGrid w:val="false"/>
          <w:color w:val="2F5496"/>
          <w:sz w:val="22"/>
          <w:szCs w:val="22"/>
        </w:rPr>
        <w:t xml:space="preserve">「委託者」は誰か（商品・契約形態別）</w:t>
      </w:r>
    </w:p>
    <w:p>
      <w:pPr>
        <w:spacing w:after="100" w:line="264"/>
      </w:pPr>
      <w:r>
        <w:rPr>
          <w:snapToGrid w:val="false"/>
          <w:sz w:val="20"/>
          <w:szCs w:val="20"/>
        </w:rPr>
        <w:t xml:space="preserve">「資産運用業務」と「アセットマネジメント業務」の一番の違いは、実は業務内容そのものより契約の当事者構造にあります。公募投資信託では投資家は受益者止まりで委託者にはなれませんが、信託銀行が直接受託する金銭信託・年金信託では、お客様自身が委託者として信託銀行と直接契約します。</w:t>
      </w:r>
    </w:p>
    <w:tbl>
      <w:tblPr>
        <w:tblW w:type="dxa" w:w="14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3946"/>
        <w:gridCol w:w="2946"/>
        <w:gridCol w:w="3946"/>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3946"/>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委託者</w:t>
            </w:r>
          </w:p>
        </w:tc>
        <w:tc>
          <w:tcPr>
            <w:tcW w:type="dxa" w:w="2946"/>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受託者</w:t>
            </w:r>
          </w:p>
        </w:tc>
        <w:tc>
          <w:tcPr>
            <w:tcW w:type="dxa" w:w="3946"/>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受益者・投資家</w:t>
            </w:r>
          </w:p>
        </w:tc>
      </w:tr>
      <w:tr>
        <w:trPr>
          <w:cantSplit/>
        </w:trPr>
        <w:tc>
          <w:tcPr>
            <w:tcW w:type="dxa" w:w="3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w:t>
            </w:r>
          </w:p>
        </w:tc>
        <w:tc>
          <w:tcPr>
            <w:tcW w:type="dxa" w:w="2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一般投資家（受益権を保有）</w:t>
            </w:r>
          </w:p>
        </w:tc>
      </w:tr>
      <w:tr>
        <w:trPr>
          <w:cantSplit/>
        </w:trPr>
        <w:tc>
          <w:tcPr>
            <w:tcW w:type="dxa" w:w="3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顧客自身（個人・法人）</w:t>
            </w:r>
          </w:p>
        </w:tc>
        <w:tc>
          <w:tcPr>
            <w:tcW w:type="dxa" w:w="2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顧客自身が基本（自益信託）</w:t>
            </w:r>
          </w:p>
        </w:tc>
      </w:tr>
      <w:tr>
        <w:trPr>
          <w:cantSplit/>
        </w:trPr>
        <w:tc>
          <w:tcPr>
            <w:tcW w:type="dxa" w:w="3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事業主（企業）</w:t>
            </w:r>
          </w:p>
        </w:tc>
        <w:tc>
          <w:tcPr>
            <w:tcW w:type="dxa" w:w="2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従業員・年金受給者</w:t>
            </w:r>
          </w:p>
        </w:tc>
      </w:tr>
      <w:tr>
        <w:trPr>
          <w:cantSplit/>
        </w:trPr>
        <w:tc>
          <w:tcPr>
            <w:tcW w:type="dxa" w:w="3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事業主（企業）　※運用指図は外部運用会社に委ねるのが一般的</w:t>
            </w:r>
          </w:p>
        </w:tc>
        <w:tc>
          <w:tcPr>
            <w:tcW w:type="dxa" w:w="2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c>
          <w:tcPr>
            <w:tcW w:type="dxa" w:w="3946"/>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従業員・年金受給者</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一部をゆうちょアセットマネジメントへ移管</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アセットマネジメント業務（グループの資産運用会社による運用業務）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個人向け公募投信の自社設定は行っていない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オルタナティブ投資運用（PE・不動産ファンド・ヘッジファンド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 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 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有価証券への自己勘定投資業務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2026-08-22T22:41:11.895Z</dcterms:created>
  <dcterms:modified xsi:type="dcterms:W3CDTF">2026-08-22T22:41:11.896Z</dcterms:modified>
</cp:coreProperties>
</file>

<file path=docProps/custom.xml><?xml version="1.0" encoding="utf-8"?>
<Properties xmlns="http://schemas.openxmlformats.org/officeDocument/2006/custom-properties" xmlns:vt="http://schemas.openxmlformats.org/officeDocument/2006/docPropsVTypes"/>
</file>