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4"/>
          <w:szCs w:val="44"/>
        </w:rPr>
        <w:t xml:space="preserve">NTTデータグループ 企業研究</w:t>
      </w:r>
    </w:p>
    <w:p>
      <w:pPr>
        <w:spacing w:after="120"/>
      </w:pPr>
      <w:r>
        <w:rPr>
          <w:color w:val="444444"/>
          <w:sz w:val="20"/>
          <w:szCs w:val="20"/>
        </w:rPr>
        <w:t xml:space="preserve">大貴のNTTデータ「現場受け入れ型」インターン（データサイエンティストコース）に向けた企業研究資料</w:t>
      </w:r>
    </w:p>
    <w:p>
      <w:pPr>
        <w:spacing w:after="120"/>
      </w:pPr>
      <w:r>
        <w:rPr>
          <w:color w:val="666666"/>
          <w:sz w:val="18"/>
          <w:szCs w:val="18"/>
        </w:rPr>
        <w:t xml:space="preserve">証券コード9613（2025年9月に東証プライム上場廃止・NTTの完全子会社化）</w:t>
      </w:r>
    </w:p>
    <w:p>
      <w:pPr>
        <w:spacing w:after="100"/>
      </w:pPr>
    </w:p>
    <w:p>
      <w:pPr>
        <w:spacing w:after="120"/>
      </w:pPr>
      <w:r>
        <w:rPr>
          <w:sz w:val="21"/>
          <w:szCs w:val="21"/>
        </w:rPr>
        <w:t xml:space="preserve">官公庁・金融・法人向けに強い国内最大級のSIer（システムインテグレーター）であり、海外M&amp;Aで築いた世界規模のグローバル事業とデータセンター事業が特徴。NTTグループの一員として、2025年にNTTの完全子会社となった。</w:t>
      </w:r>
    </w:p>
    <w:p>
      <w:pPr>
        <w:pStyle w:val="Heading1"/>
        <w:spacing w:after="150" w:before="300"/>
      </w:pPr>
      <w:r>
        <w:t xml:space="preserve">1. 会社概要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1F3864" w:val="clear"/>
            <w:tcMar>
              <w:top w:type="dxa" w:w="60"/>
              <w:left w:type="dxa" w:w="100"/>
              <w:bottom w:type="dxa" w:w="60"/>
              <w:right w:type="dxa" w:w="100"/>
            </w:tcMar>
          </w:tcPr>
          <w:p>
            <w:pPr>
              <w:jc w:val="left"/>
            </w:pPr>
            <w:r>
              <w:rPr>
                <w:b/>
                <w:bCs/>
                <w:color w:val="FFFFFF"/>
                <w:sz w:val="20"/>
                <w:szCs w:val="20"/>
              </w:rPr>
              <w:t xml:space="preserve">項目</w:t>
            </w:r>
          </w:p>
        </w:tc>
        <w:tc>
          <w:tcPr>
            <w:tcW w:type="dxa" w:w="6826"/>
            <w:shd w:fill="1F3864" w:val="clear"/>
            <w:tcMar>
              <w:top w:type="dxa" w:w="60"/>
              <w:left w:type="dxa" w:w="100"/>
              <w:bottom w:type="dxa" w:w="60"/>
              <w:right w:type="dxa" w:w="100"/>
            </w:tcMar>
          </w:tcPr>
          <w:p>
            <w:pPr>
              <w:jc w:val="left"/>
            </w:pPr>
            <w:r>
              <w:rPr>
                <w:b/>
                <w:bCs/>
                <w:color w:val="FFFFFF"/>
                <w:sz w:val="20"/>
                <w:szCs w:val="20"/>
              </w:rPr>
              <w:t xml:space="preserve">内容</w:t>
            </w:r>
          </w:p>
        </w:tc>
      </w:tr>
      <w:tr>
        <w:tc>
          <w:tcPr>
            <w:tcW w:type="dxa" w:w="2200"/>
            <w:tcMar>
              <w:top w:type="dxa" w:w="60"/>
              <w:left w:type="dxa" w:w="100"/>
              <w:bottom w:type="dxa" w:w="60"/>
              <w:right w:type="dxa" w:w="100"/>
            </w:tcMar>
          </w:tcPr>
          <w:p>
            <w:pPr>
              <w:jc w:val="left"/>
            </w:pPr>
            <w:r>
              <w:rPr>
                <w:b w:val="false"/>
                <w:bCs w:val="false"/>
                <w:color w:val="000000"/>
                <w:sz w:val="20"/>
                <w:szCs w:val="20"/>
              </w:rPr>
              <w:t xml:space="preserve">正式名称</w:t>
            </w:r>
          </w:p>
        </w:tc>
        <w:tc>
          <w:tcPr>
            <w:tcW w:type="dxa" w:w="6826"/>
            <w:tcMar>
              <w:top w:type="dxa" w:w="60"/>
              <w:left w:type="dxa" w:w="100"/>
              <w:bottom w:type="dxa" w:w="60"/>
              <w:right w:type="dxa" w:w="100"/>
            </w:tcMar>
          </w:tcPr>
          <w:p>
            <w:pPr>
              <w:jc w:val="left"/>
            </w:pPr>
            <w:r>
              <w:rPr>
                <w:b w:val="false"/>
                <w:bCs w:val="false"/>
                <w:color w:val="000000"/>
                <w:sz w:val="20"/>
                <w:szCs w:val="20"/>
              </w:rPr>
              <w:t xml:space="preserve">株式会社NTTデータグループ（NTT DATA Group Corporation）／持株会社</w:t>
            </w:r>
          </w:p>
        </w:tc>
      </w:tr>
      <w:tr>
        <w:tc>
          <w:tcPr>
            <w:tcW w:type="dxa" w:w="2200"/>
            <w:shd w:fill="DCE6F1" w:val="clear"/>
            <w:tcMar>
              <w:top w:type="dxa" w:w="60"/>
              <w:left w:type="dxa" w:w="100"/>
              <w:bottom w:type="dxa" w:w="60"/>
              <w:right w:type="dxa" w:w="100"/>
            </w:tcMar>
          </w:tcPr>
          <w:p>
            <w:pPr>
              <w:jc w:val="left"/>
            </w:pPr>
            <w:r>
              <w:rPr>
                <w:b w:val="false"/>
                <w:bCs w:val="false"/>
                <w:color w:val="000000"/>
                <w:sz w:val="20"/>
                <w:szCs w:val="20"/>
              </w:rPr>
              <w:t xml:space="preserve">設立</w:t>
            </w:r>
          </w:p>
        </w:tc>
        <w:tc>
          <w:tcPr>
            <w:tcW w:type="dxa" w:w="6826"/>
            <w:shd w:fill="DCE6F1" w:val="clear"/>
            <w:tcMar>
              <w:top w:type="dxa" w:w="60"/>
              <w:left w:type="dxa" w:w="100"/>
              <w:bottom w:type="dxa" w:w="60"/>
              <w:right w:type="dxa" w:w="100"/>
            </w:tcMar>
          </w:tcPr>
          <w:p>
            <w:pPr>
              <w:jc w:val="left"/>
            </w:pPr>
            <w:r>
              <w:rPr>
                <w:b w:val="false"/>
                <w:bCs w:val="false"/>
                <w:color w:val="000000"/>
                <w:sz w:val="20"/>
                <w:szCs w:val="20"/>
              </w:rPr>
              <w:t xml:space="preserve">1988年5月（NTT分割により「エヌ・ティ・ティ・データ通信株式会社」として発足）</w:t>
            </w:r>
          </w:p>
        </w:tc>
      </w:tr>
      <w:tr>
        <w:tc>
          <w:tcPr>
            <w:tcW w:type="dxa" w:w="2200"/>
            <w:tcMar>
              <w:top w:type="dxa" w:w="60"/>
              <w:left w:type="dxa" w:w="100"/>
              <w:bottom w:type="dxa" w:w="60"/>
              <w:right w:type="dxa" w:w="100"/>
            </w:tcMar>
          </w:tcPr>
          <w:p>
            <w:pPr>
              <w:jc w:val="left"/>
            </w:pPr>
            <w:r>
              <w:rPr>
                <w:b w:val="false"/>
                <w:bCs w:val="false"/>
                <w:color w:val="000000"/>
                <w:sz w:val="20"/>
                <w:szCs w:val="20"/>
              </w:rPr>
              <w:t xml:space="preserve">本社</w:t>
            </w:r>
          </w:p>
        </w:tc>
        <w:tc>
          <w:tcPr>
            <w:tcW w:type="dxa" w:w="6826"/>
            <w:tcMar>
              <w:top w:type="dxa" w:w="60"/>
              <w:left w:type="dxa" w:w="100"/>
              <w:bottom w:type="dxa" w:w="60"/>
              <w:right w:type="dxa" w:w="100"/>
            </w:tcMar>
          </w:tcPr>
          <w:p>
            <w:pPr>
              <w:jc w:val="left"/>
            </w:pPr>
            <w:r>
              <w:rPr>
                <w:b w:val="false"/>
                <w:bCs w:val="false"/>
                <w:color w:val="000000"/>
                <w:sz w:val="20"/>
                <w:szCs w:val="20"/>
              </w:rPr>
              <w:t xml:space="preserve">東京都江東区豊洲3-3-3 豊洲センタービル</w:t>
            </w:r>
          </w:p>
        </w:tc>
      </w:tr>
      <w:tr>
        <w:tc>
          <w:tcPr>
            <w:tcW w:type="dxa" w:w="2200"/>
            <w:shd w:fill="DCE6F1" w:val="clear"/>
            <w:tcMar>
              <w:top w:type="dxa" w:w="60"/>
              <w:left w:type="dxa" w:w="100"/>
              <w:bottom w:type="dxa" w:w="60"/>
              <w:right w:type="dxa" w:w="100"/>
            </w:tcMar>
          </w:tcPr>
          <w:p>
            <w:pPr>
              <w:jc w:val="left"/>
            </w:pPr>
            <w:r>
              <w:rPr>
                <w:b w:val="false"/>
                <w:bCs w:val="false"/>
                <w:color w:val="000000"/>
                <w:sz w:val="20"/>
                <w:szCs w:val="20"/>
              </w:rPr>
              <w:t xml:space="preserve">代表取締役社長CEO</w:t>
            </w:r>
          </w:p>
        </w:tc>
        <w:tc>
          <w:tcPr>
            <w:tcW w:type="dxa" w:w="6826"/>
            <w:shd w:fill="DCE6F1" w:val="clear"/>
            <w:tcMar>
              <w:top w:type="dxa" w:w="60"/>
              <w:left w:type="dxa" w:w="100"/>
              <w:bottom w:type="dxa" w:w="60"/>
              <w:right w:type="dxa" w:w="100"/>
            </w:tcMar>
          </w:tcPr>
          <w:p>
            <w:pPr>
              <w:jc w:val="left"/>
            </w:pPr>
            <w:r>
              <w:rPr>
                <w:b w:val="false"/>
                <w:bCs w:val="false"/>
                <w:color w:val="000000"/>
                <w:sz w:val="20"/>
                <w:szCs w:val="20"/>
              </w:rPr>
              <w:t xml:space="preserve">中山和彦（2026年6月12日就任。前任の佐々木裕氏はNTT副社長に）</w:t>
            </w:r>
          </w:p>
        </w:tc>
      </w:tr>
      <w:tr>
        <w:tc>
          <w:tcPr>
            <w:tcW w:type="dxa" w:w="2200"/>
            <w:tcMar>
              <w:top w:type="dxa" w:w="60"/>
              <w:left w:type="dxa" w:w="100"/>
              <w:bottom w:type="dxa" w:w="60"/>
              <w:right w:type="dxa" w:w="100"/>
            </w:tcMar>
          </w:tcPr>
          <w:p>
            <w:pPr>
              <w:jc w:val="left"/>
            </w:pPr>
            <w:r>
              <w:rPr>
                <w:b w:val="false"/>
                <w:bCs w:val="false"/>
                <w:color w:val="000000"/>
                <w:sz w:val="20"/>
                <w:szCs w:val="20"/>
              </w:rPr>
              <w:t xml:space="preserve">従業員数</w:t>
            </w:r>
          </w:p>
        </w:tc>
        <w:tc>
          <w:tcPr>
            <w:tcW w:type="dxa" w:w="6826"/>
            <w:tcMar>
              <w:top w:type="dxa" w:w="60"/>
              <w:left w:type="dxa" w:w="100"/>
              <w:bottom w:type="dxa" w:w="60"/>
              <w:right w:type="dxa" w:w="100"/>
            </w:tcMar>
          </w:tcPr>
          <w:p>
            <w:pPr>
              <w:jc w:val="left"/>
            </w:pPr>
            <w:r>
              <w:rPr>
                <w:b w:val="false"/>
                <w:bCs w:val="false"/>
                <w:color w:val="000000"/>
                <w:sz w:val="20"/>
                <w:szCs w:val="20"/>
              </w:rPr>
              <w:t xml:space="preserve">グループ全体で約19.8万人（2025年時点）</w:t>
            </w:r>
          </w:p>
        </w:tc>
      </w:tr>
      <w:tr>
        <w:tc>
          <w:tcPr>
            <w:tcW w:type="dxa" w:w="2200"/>
            <w:shd w:fill="DCE6F1" w:val="clear"/>
            <w:tcMar>
              <w:top w:type="dxa" w:w="60"/>
              <w:left w:type="dxa" w:w="100"/>
              <w:bottom w:type="dxa" w:w="60"/>
              <w:right w:type="dxa" w:w="100"/>
            </w:tcMar>
          </w:tcPr>
          <w:p>
            <w:pPr>
              <w:jc w:val="left"/>
            </w:pPr>
            <w:r>
              <w:rPr>
                <w:b w:val="false"/>
                <w:bCs w:val="false"/>
                <w:color w:val="000000"/>
                <w:sz w:val="20"/>
                <w:szCs w:val="20"/>
              </w:rPr>
              <w:t xml:space="preserve">グループ体制</w:t>
            </w:r>
          </w:p>
        </w:tc>
        <w:tc>
          <w:tcPr>
            <w:tcW w:type="dxa" w:w="6826"/>
            <w:shd w:fill="DCE6F1" w:val="clear"/>
            <w:tcMar>
              <w:top w:type="dxa" w:w="60"/>
              <w:left w:type="dxa" w:w="100"/>
              <w:bottom w:type="dxa" w:w="60"/>
              <w:right w:type="dxa" w:w="100"/>
            </w:tcMar>
          </w:tcPr>
          <w:p>
            <w:pPr>
              <w:jc w:val="left"/>
            </w:pPr>
            <w:r>
              <w:rPr>
                <w:b w:val="false"/>
                <w:bCs w:val="false"/>
                <w:color w:val="000000"/>
                <w:sz w:val="20"/>
                <w:szCs w:val="20"/>
              </w:rPr>
              <w:t xml:space="preserve">持株会社「NTTデータグループ」の下に、国内事業会社「株式会社NTTデータ」と海外事業会社「NTT DATA, Inc.」を置く2本柱の構造（2023年7月〜）</w:t>
            </w:r>
          </w:p>
        </w:tc>
      </w:tr>
      <w:tr>
        <w:tc>
          <w:tcPr>
            <w:tcW w:type="dxa" w:w="2200"/>
            <w:tcMar>
              <w:top w:type="dxa" w:w="60"/>
              <w:left w:type="dxa" w:w="100"/>
              <w:bottom w:type="dxa" w:w="60"/>
              <w:right w:type="dxa" w:w="100"/>
            </w:tcMar>
          </w:tcPr>
          <w:p>
            <w:pPr>
              <w:jc w:val="left"/>
            </w:pPr>
            <w:r>
              <w:rPr>
                <w:b w:val="false"/>
                <w:bCs w:val="false"/>
                <w:color w:val="000000"/>
                <w:sz w:val="20"/>
                <w:szCs w:val="20"/>
              </w:rPr>
              <w:t xml:space="preserve">株式</w:t>
            </w:r>
          </w:p>
        </w:tc>
        <w:tc>
          <w:tcPr>
            <w:tcW w:type="dxa" w:w="6826"/>
            <w:tcMar>
              <w:top w:type="dxa" w:w="60"/>
              <w:left w:type="dxa" w:w="100"/>
              <w:bottom w:type="dxa" w:w="60"/>
              <w:right w:type="dxa" w:w="100"/>
            </w:tcMar>
          </w:tcPr>
          <w:p>
            <w:pPr>
              <w:jc w:val="left"/>
            </w:pPr>
            <w:r>
              <w:rPr>
                <w:b w:val="false"/>
                <w:bCs w:val="false"/>
                <w:color w:val="000000"/>
                <w:sz w:val="20"/>
                <w:szCs w:val="20"/>
              </w:rPr>
              <w:t xml:space="preserve">2025年9月26日、NTTによるTOB・株式併合により完全子会社化され、東証プライム上場を廃止</w:t>
            </w:r>
          </w:p>
        </w:tc>
      </w:tr>
    </w:tbl>
    <w:p>
      <w:pPr>
        <w:pStyle w:val="Heading1"/>
        <w:spacing w:after="150" w:before="300"/>
      </w:pPr>
      <w:r>
        <w:t xml:space="preserve">2. 沿革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1F3864" w:val="clear"/>
            <w:tcMar>
              <w:top w:type="dxa" w:w="60"/>
              <w:left w:type="dxa" w:w="100"/>
              <w:bottom w:type="dxa" w:w="60"/>
              <w:right w:type="dxa" w:w="100"/>
            </w:tcMar>
          </w:tcPr>
          <w:p>
            <w:pPr>
              <w:jc w:val="left"/>
            </w:pPr>
            <w:r>
              <w:rPr>
                <w:b/>
                <w:bCs/>
                <w:color w:val="FFFFFF"/>
                <w:sz w:val="20"/>
                <w:szCs w:val="20"/>
              </w:rPr>
              <w:t xml:space="preserve">年</w:t>
            </w:r>
          </w:p>
        </w:tc>
        <w:tc>
          <w:tcPr>
            <w:tcW w:type="dxa" w:w="7026"/>
            <w:shd w:fill="1F3864" w:val="clear"/>
            <w:tcMar>
              <w:top w:type="dxa" w:w="60"/>
              <w:left w:type="dxa" w:w="100"/>
              <w:bottom w:type="dxa" w:w="60"/>
              <w:right w:type="dxa" w:w="100"/>
            </w:tcMar>
          </w:tcPr>
          <w:p>
            <w:pPr>
              <w:jc w:val="left"/>
            </w:pPr>
            <w:r>
              <w:rPr>
                <w:b/>
                <w:bCs/>
                <w:color w:val="FFFFFF"/>
                <w:sz w:val="20"/>
                <w:szCs w:val="20"/>
              </w:rPr>
              <w:t xml:space="preserve">できごと</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1988年5月</w:t>
            </w:r>
          </w:p>
        </w:tc>
        <w:tc>
          <w:tcPr>
            <w:tcW w:type="dxa" w:w="7026"/>
            <w:tcMar>
              <w:top w:type="dxa" w:w="60"/>
              <w:left w:type="dxa" w:w="100"/>
              <w:bottom w:type="dxa" w:w="60"/>
              <w:right w:type="dxa" w:w="100"/>
            </w:tcMar>
          </w:tcPr>
          <w:p>
            <w:pPr>
              <w:jc w:val="left"/>
            </w:pPr>
            <w:r>
              <w:rPr>
                <w:b w:val="false"/>
                <w:bCs w:val="false"/>
                <w:color w:val="000000"/>
                <w:sz w:val="20"/>
                <w:szCs w:val="20"/>
              </w:rPr>
              <w:t xml:space="preserve">NTT分割により「エヌ・ティ・ティ・データ通信(株)」として設立</w:t>
            </w:r>
          </w:p>
        </w:tc>
      </w:tr>
      <w:tr>
        <w:tc>
          <w:tcPr>
            <w:tcW w:type="dxa" w:w="2000"/>
            <w:shd w:fill="DCE6F1" w:val="clear"/>
            <w:tcMar>
              <w:top w:type="dxa" w:w="60"/>
              <w:left w:type="dxa" w:w="100"/>
              <w:bottom w:type="dxa" w:w="60"/>
              <w:right w:type="dxa" w:w="100"/>
            </w:tcMar>
          </w:tcPr>
          <w:p>
            <w:pPr>
              <w:jc w:val="left"/>
            </w:pPr>
            <w:r>
              <w:rPr>
                <w:b w:val="false"/>
                <w:bCs w:val="false"/>
                <w:color w:val="000000"/>
                <w:sz w:val="20"/>
                <w:szCs w:val="20"/>
              </w:rPr>
              <w:t xml:space="preserve">1995年4月</w:t>
            </w:r>
          </w:p>
        </w:tc>
        <w:tc>
          <w:tcPr>
            <w:tcW w:type="dxa" w:w="7026"/>
            <w:shd w:fill="DCE6F1" w:val="clear"/>
            <w:tcMar>
              <w:top w:type="dxa" w:w="60"/>
              <w:left w:type="dxa" w:w="100"/>
              <w:bottom w:type="dxa" w:w="60"/>
              <w:right w:type="dxa" w:w="100"/>
            </w:tcMar>
          </w:tcPr>
          <w:p>
            <w:pPr>
              <w:jc w:val="left"/>
            </w:pPr>
            <w:r>
              <w:rPr>
                <w:b w:val="false"/>
                <w:bCs w:val="false"/>
                <w:color w:val="000000"/>
                <w:sz w:val="20"/>
                <w:szCs w:val="20"/>
              </w:rPr>
              <w:t xml:space="preserve">東証二部上場</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1996年9月</w:t>
            </w:r>
          </w:p>
        </w:tc>
        <w:tc>
          <w:tcPr>
            <w:tcW w:type="dxa" w:w="7026"/>
            <w:tcMar>
              <w:top w:type="dxa" w:w="60"/>
              <w:left w:type="dxa" w:w="100"/>
              <w:bottom w:type="dxa" w:w="60"/>
              <w:right w:type="dxa" w:w="100"/>
            </w:tcMar>
          </w:tcPr>
          <w:p>
            <w:pPr>
              <w:jc w:val="left"/>
            </w:pPr>
            <w:r>
              <w:rPr>
                <w:b w:val="false"/>
                <w:bCs w:val="false"/>
                <w:color w:val="000000"/>
                <w:sz w:val="20"/>
                <w:szCs w:val="20"/>
              </w:rPr>
              <w:t xml:space="preserve">東証一部上場</w:t>
            </w:r>
          </w:p>
        </w:tc>
      </w:tr>
      <w:tr>
        <w:tc>
          <w:tcPr>
            <w:tcW w:type="dxa" w:w="2000"/>
            <w:shd w:fill="DCE6F1" w:val="clear"/>
            <w:tcMar>
              <w:top w:type="dxa" w:w="60"/>
              <w:left w:type="dxa" w:w="100"/>
              <w:bottom w:type="dxa" w:w="60"/>
              <w:right w:type="dxa" w:w="100"/>
            </w:tcMar>
          </w:tcPr>
          <w:p>
            <w:pPr>
              <w:jc w:val="left"/>
            </w:pPr>
            <w:r>
              <w:rPr>
                <w:b w:val="false"/>
                <w:bCs w:val="false"/>
                <w:color w:val="000000"/>
                <w:sz w:val="20"/>
                <w:szCs w:val="20"/>
              </w:rPr>
              <w:t xml:space="preserve">1998年8月</w:t>
            </w:r>
          </w:p>
        </w:tc>
        <w:tc>
          <w:tcPr>
            <w:tcW w:type="dxa" w:w="7026"/>
            <w:shd w:fill="DCE6F1" w:val="clear"/>
            <w:tcMar>
              <w:top w:type="dxa" w:w="60"/>
              <w:left w:type="dxa" w:w="100"/>
              <w:bottom w:type="dxa" w:w="60"/>
              <w:right w:type="dxa" w:w="100"/>
            </w:tcMar>
          </w:tcPr>
          <w:p>
            <w:pPr>
              <w:jc w:val="left"/>
            </w:pPr>
            <w:r>
              <w:rPr>
                <w:b w:val="false"/>
                <w:bCs w:val="false"/>
                <w:color w:val="000000"/>
                <w:sz w:val="20"/>
                <w:szCs w:val="20"/>
              </w:rPr>
              <w:t xml:space="preserve">「株式会社エヌ・ティ・ティ・データ」に社名変更</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2005年〜</w:t>
            </w:r>
          </w:p>
        </w:tc>
        <w:tc>
          <w:tcPr>
            <w:tcW w:type="dxa" w:w="7026"/>
            <w:tcMar>
              <w:top w:type="dxa" w:w="60"/>
              <w:left w:type="dxa" w:w="100"/>
              <w:bottom w:type="dxa" w:w="60"/>
              <w:right w:type="dxa" w:w="100"/>
            </w:tcMar>
          </w:tcPr>
          <w:p>
            <w:pPr>
              <w:jc w:val="left"/>
            </w:pPr>
            <w:r>
              <w:rPr>
                <w:b w:val="false"/>
                <w:bCs w:val="false"/>
                <w:color w:val="000000"/>
                <w:sz w:val="20"/>
                <w:szCs w:val="20"/>
              </w:rPr>
              <w:t xml:space="preserve">海外M&amp;Aを本格化し、グローバル展開を加速</w:t>
            </w:r>
          </w:p>
        </w:tc>
      </w:tr>
      <w:tr>
        <w:tc>
          <w:tcPr>
            <w:tcW w:type="dxa" w:w="2000"/>
            <w:shd w:fill="DCE6F1" w:val="clear"/>
            <w:tcMar>
              <w:top w:type="dxa" w:w="60"/>
              <w:left w:type="dxa" w:w="100"/>
              <w:bottom w:type="dxa" w:w="60"/>
              <w:right w:type="dxa" w:w="100"/>
            </w:tcMar>
          </w:tcPr>
          <w:p>
            <w:pPr>
              <w:jc w:val="left"/>
            </w:pPr>
            <w:r>
              <w:rPr>
                <w:b w:val="false"/>
                <w:bCs w:val="false"/>
                <w:color w:val="000000"/>
                <w:sz w:val="20"/>
                <w:szCs w:val="20"/>
              </w:rPr>
              <w:t xml:space="preserve">2022年10月</w:t>
            </w:r>
          </w:p>
        </w:tc>
        <w:tc>
          <w:tcPr>
            <w:tcW w:type="dxa" w:w="7026"/>
            <w:shd w:fill="DCE6F1" w:val="clear"/>
            <w:tcMar>
              <w:top w:type="dxa" w:w="60"/>
              <w:left w:type="dxa" w:w="100"/>
              <w:bottom w:type="dxa" w:w="60"/>
              <w:right w:type="dxa" w:w="100"/>
            </w:tcMar>
          </w:tcPr>
          <w:p>
            <w:pPr>
              <w:jc w:val="left"/>
            </w:pPr>
            <w:r>
              <w:rPr>
                <w:b w:val="false"/>
                <w:bCs w:val="false"/>
                <w:color w:val="000000"/>
                <w:sz w:val="20"/>
                <w:szCs w:val="20"/>
              </w:rPr>
              <w:t xml:space="preserve">NTT Ltd.と自社の海外事業を統合し、海外事業会社「NTT DATA, Inc.」（旧NTT, Inc.）を設立</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2023年7月</w:t>
            </w:r>
          </w:p>
        </w:tc>
        <w:tc>
          <w:tcPr>
            <w:tcW w:type="dxa" w:w="7026"/>
            <w:tcMar>
              <w:top w:type="dxa" w:w="60"/>
              <w:left w:type="dxa" w:w="100"/>
              <w:bottom w:type="dxa" w:w="60"/>
              <w:right w:type="dxa" w:w="100"/>
            </w:tcMar>
          </w:tcPr>
          <w:p>
            <w:pPr>
              <w:jc w:val="left"/>
            </w:pPr>
            <w:r>
              <w:rPr>
                <w:b w:val="false"/>
                <w:bCs w:val="false"/>
                <w:color w:val="000000"/>
                <w:sz w:val="20"/>
                <w:szCs w:val="20"/>
              </w:rPr>
              <w:t xml:space="preserve">持株会社体制へ移行。商号を「株式会社NTTデータグループ」に変更し、国内事業を子会社「株式会社NTTデータ」に承継</w:t>
            </w:r>
          </w:p>
        </w:tc>
      </w:tr>
      <w:tr>
        <w:tc>
          <w:tcPr>
            <w:tcW w:type="dxa" w:w="2000"/>
            <w:shd w:fill="DCE6F1" w:val="clear"/>
            <w:tcMar>
              <w:top w:type="dxa" w:w="60"/>
              <w:left w:type="dxa" w:w="100"/>
              <w:bottom w:type="dxa" w:w="60"/>
              <w:right w:type="dxa" w:w="100"/>
            </w:tcMar>
          </w:tcPr>
          <w:p>
            <w:pPr>
              <w:jc w:val="left"/>
            </w:pPr>
            <w:r>
              <w:rPr>
                <w:b w:val="false"/>
                <w:bCs w:val="false"/>
                <w:color w:val="000000"/>
                <w:sz w:val="20"/>
                <w:szCs w:val="20"/>
              </w:rPr>
              <w:t xml:space="preserve">2025年7月</w:t>
            </w:r>
          </w:p>
        </w:tc>
        <w:tc>
          <w:tcPr>
            <w:tcW w:type="dxa" w:w="7026"/>
            <w:shd w:fill="DCE6F1" w:val="clear"/>
            <w:tcMar>
              <w:top w:type="dxa" w:w="60"/>
              <w:left w:type="dxa" w:w="100"/>
              <w:bottom w:type="dxa" w:w="60"/>
              <w:right w:type="dxa" w:w="100"/>
            </w:tcMar>
          </w:tcPr>
          <w:p>
            <w:pPr>
              <w:jc w:val="left"/>
            </w:pPr>
            <w:r>
              <w:rPr>
                <w:b w:val="false"/>
                <w:bCs w:val="false"/>
                <w:color w:val="000000"/>
                <w:sz w:val="20"/>
                <w:szCs w:val="20"/>
              </w:rPr>
              <w:t xml:space="preserve">データセンター専用REIT「NTT DC REIT」をシンガポール証券取引所に上場（米国・豪州・シンガポールの6拠点DCが対象）</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2025年9月26日</w:t>
            </w:r>
          </w:p>
        </w:tc>
        <w:tc>
          <w:tcPr>
            <w:tcW w:type="dxa" w:w="7026"/>
            <w:tcMar>
              <w:top w:type="dxa" w:w="60"/>
              <w:left w:type="dxa" w:w="100"/>
              <w:bottom w:type="dxa" w:w="60"/>
              <w:right w:type="dxa" w:w="100"/>
            </w:tcMar>
          </w:tcPr>
          <w:p>
            <w:pPr>
              <w:jc w:val="left"/>
            </w:pPr>
            <w:r>
              <w:rPr>
                <w:b w:val="false"/>
                <w:bCs w:val="false"/>
                <w:color w:val="000000"/>
                <w:sz w:val="20"/>
                <w:szCs w:val="20"/>
              </w:rPr>
              <w:t xml:space="preserve">NTTによるTOB＋株式併合が成立し、東証プライム上場廃止・NTTの完全子会社に（2020年のNTTドコモ完全子会社化に続くNTTグループ再統合の一環）</w:t>
            </w:r>
          </w:p>
        </w:tc>
      </w:tr>
      <w:tr>
        <w:tc>
          <w:tcPr>
            <w:tcW w:type="dxa" w:w="2000"/>
            <w:shd w:fill="DCE6F1" w:val="clear"/>
            <w:tcMar>
              <w:top w:type="dxa" w:w="60"/>
              <w:left w:type="dxa" w:w="100"/>
              <w:bottom w:type="dxa" w:w="60"/>
              <w:right w:type="dxa" w:w="100"/>
            </w:tcMar>
          </w:tcPr>
          <w:p>
            <w:pPr>
              <w:jc w:val="left"/>
            </w:pPr>
            <w:r>
              <w:rPr>
                <w:b w:val="false"/>
                <w:bCs w:val="false"/>
                <w:color w:val="000000"/>
                <w:sz w:val="20"/>
                <w:szCs w:val="20"/>
              </w:rPr>
              <w:t xml:space="preserve">2026年6月12日</w:t>
            </w:r>
          </w:p>
        </w:tc>
        <w:tc>
          <w:tcPr>
            <w:tcW w:type="dxa" w:w="7026"/>
            <w:shd w:fill="DCE6F1" w:val="clear"/>
            <w:tcMar>
              <w:top w:type="dxa" w:w="60"/>
              <w:left w:type="dxa" w:w="100"/>
              <w:bottom w:type="dxa" w:w="60"/>
              <w:right w:type="dxa" w:w="100"/>
            </w:tcMar>
          </w:tcPr>
          <w:p>
            <w:pPr>
              <w:jc w:val="left"/>
            </w:pPr>
            <w:r>
              <w:rPr>
                <w:b w:val="false"/>
                <w:bCs w:val="false"/>
                <w:color w:val="000000"/>
                <w:sz w:val="20"/>
                <w:szCs w:val="20"/>
              </w:rPr>
              <w:t xml:space="preserve">代表取締役社長CEOが佐々木裕氏から中山和彦氏（財務畑出身）に交代</w:t>
            </w:r>
          </w:p>
        </w:tc>
      </w:tr>
    </w:tbl>
    <w:p>
      <w:r>
        <w:br w:type="page"/>
      </w:r>
    </w:p>
    <w:p>
      <w:pPr>
        <w:pStyle w:val="Heading1"/>
        <w:spacing w:after="150" w:before="300"/>
      </w:pPr>
      <w:r>
        <w:t xml:space="preserve">3. 中期経営計画・ビジョン</w:t>
      </w:r>
    </w:p>
    <w:p>
      <w:pPr>
        <w:pStyle w:val="ListParagraph"/>
        <w:numPr>
          <w:ilvl w:val="0"/>
          <w:numId w:val="1"/>
        </w:numPr>
        <w:spacing w:after="60"/>
      </w:pPr>
      <w:r>
        <w:t xml:space="preserve">NTTグループ全体の戦略「New value creation &amp; Sustainability」の傘下で、2026年5月に事業環境の変化を踏まえ戦略を見直した「New value creation &amp; Sustainability 2030 powered by AIOWN」を公表</w:t>
      </w:r>
    </w:p>
    <w:p>
      <w:pPr>
        <w:pStyle w:val="ListParagraph"/>
        <w:numPr>
          <w:ilvl w:val="0"/>
          <w:numId w:val="1"/>
        </w:numPr>
        <w:spacing w:after="60"/>
      </w:pPr>
      <w:r>
        <w:t xml:space="preserve">2030年度目標（NTTデータグループ）：EBITDAを2025年度比1.5倍の1.2兆円へ（年平均10%弱の成長が必要な高い目標）</w:t>
      </w:r>
    </w:p>
    <w:p>
      <w:pPr>
        <w:pStyle w:val="ListParagraph"/>
        <w:numPr>
          <w:ilvl w:val="0"/>
          <w:numId w:val="1"/>
        </w:numPr>
        <w:spacing w:after="60"/>
      </w:pPr>
      <w:r>
        <w:t xml:space="preserve">成長の2本柱：①ビジネスモデル変革（エンジニアの稼働率に依存する「人月ビジネス」から、AI活用基盤を軸にした「アセット型ビジネス」への転換）、②データセンター事業の拡大（世界第3位規模、生成AI需要の取り込み）</w:t>
      </w:r>
    </w:p>
    <w:p>
      <w:pPr>
        <w:pStyle w:val="ListParagraph"/>
        <w:numPr>
          <w:ilvl w:val="0"/>
          <w:numId w:val="1"/>
        </w:numPr>
        <w:spacing w:after="60"/>
      </w:pPr>
      <w:r>
        <w:t xml:space="preserve">中山新社長は財務畑出身で、機動的な成長投資の実行と、持株会社としてのグループ全体方針の明確化を重視する方針を表明</w:t>
      </w:r>
    </w:p>
    <w:p>
      <w:pPr>
        <w:pStyle w:val="Heading1"/>
        <w:spacing w:after="150" w:before="300"/>
      </w:pPr>
      <w:r>
        <w:t xml:space="preserve">4. 事業ポートフォリオ（セグメント別）</w:t>
      </w:r>
    </w:p>
    <w:p>
      <w:pPr>
        <w:pStyle w:val="Heading2"/>
        <w:spacing w:after="120" w:before="240"/>
      </w:pPr>
      <w:r>
        <w:t xml:space="preserve">国内セグメント：公共・社会基盤／金融／法人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shd w:fill="1F3864" w:val="clear"/>
            <w:tcMar>
              <w:top w:type="dxa" w:w="60"/>
              <w:left w:type="dxa" w:w="100"/>
              <w:bottom w:type="dxa" w:w="60"/>
              <w:right w:type="dxa" w:w="100"/>
            </w:tcMar>
          </w:tcPr>
          <w:p>
            <w:pPr>
              <w:jc w:val="left"/>
            </w:pPr>
            <w:r>
              <w:rPr>
                <w:b/>
                <w:bCs/>
                <w:color w:val="FFFFFF"/>
                <w:sz w:val="20"/>
                <w:szCs w:val="20"/>
              </w:rPr>
              <w:t xml:space="preserve">分野</w:t>
            </w:r>
          </w:p>
        </w:tc>
        <w:tc>
          <w:tcPr>
            <w:tcW w:type="dxa" w:w="7226"/>
            <w:shd w:fill="1F3864" w:val="clear"/>
            <w:tcMar>
              <w:top w:type="dxa" w:w="60"/>
              <w:left w:type="dxa" w:w="100"/>
              <w:bottom w:type="dxa" w:w="60"/>
              <w:right w:type="dxa" w:w="100"/>
            </w:tcMar>
          </w:tcPr>
          <w:p>
            <w:pPr>
              <w:jc w:val="left"/>
            </w:pPr>
            <w:r>
              <w:rPr>
                <w:b/>
                <w:bCs/>
                <w:color w:val="FFFFFF"/>
                <w:sz w:val="20"/>
                <w:szCs w:val="20"/>
              </w:rPr>
              <w:t xml:space="preserve">主な内容</w:t>
            </w:r>
          </w:p>
        </w:tc>
      </w:tr>
      <w:tr>
        <w:tc>
          <w:tcPr>
            <w:tcW w:type="dxa" w:w="1800"/>
            <w:tcMar>
              <w:top w:type="dxa" w:w="60"/>
              <w:left w:type="dxa" w:w="100"/>
              <w:bottom w:type="dxa" w:w="60"/>
              <w:right w:type="dxa" w:w="100"/>
            </w:tcMar>
          </w:tcPr>
          <w:p>
            <w:pPr>
              <w:jc w:val="left"/>
            </w:pPr>
            <w:r>
              <w:rPr>
                <w:b w:val="false"/>
                <w:bCs w:val="false"/>
                <w:color w:val="000000"/>
                <w:sz w:val="20"/>
                <w:szCs w:val="20"/>
              </w:rPr>
              <w:t xml:space="preserve">公共・社会基盤</w:t>
            </w:r>
          </w:p>
        </w:tc>
        <w:tc>
          <w:tcPr>
            <w:tcW w:type="dxa" w:w="7226"/>
            <w:tcMar>
              <w:top w:type="dxa" w:w="60"/>
              <w:left w:type="dxa" w:w="100"/>
              <w:bottom w:type="dxa" w:w="60"/>
              <w:right w:type="dxa" w:w="100"/>
            </w:tcMar>
          </w:tcPr>
          <w:p>
            <w:pPr>
              <w:jc w:val="left"/>
            </w:pPr>
            <w:r>
              <w:rPr>
                <w:b w:val="false"/>
                <w:bCs w:val="false"/>
                <w:color w:val="000000"/>
                <w:sz w:val="20"/>
                <w:szCs w:val="20"/>
              </w:rPr>
              <w:t xml:space="preserve">官公庁・自治体・電力・通信・医療などの基幹システム構築・運用。長年の実績に基づく高いシェアと信頼関係が強み</w:t>
            </w:r>
          </w:p>
        </w:tc>
      </w:tr>
      <w:tr>
        <w:tc>
          <w:tcPr>
            <w:tcW w:type="dxa" w:w="1800"/>
            <w:shd w:fill="DCE6F1" w:val="clear"/>
            <w:tcMar>
              <w:top w:type="dxa" w:w="60"/>
              <w:left w:type="dxa" w:w="100"/>
              <w:bottom w:type="dxa" w:w="60"/>
              <w:right w:type="dxa" w:w="100"/>
            </w:tcMar>
          </w:tcPr>
          <w:p>
            <w:pPr>
              <w:jc w:val="left"/>
            </w:pPr>
            <w:r>
              <w:rPr>
                <w:b w:val="false"/>
                <w:bCs w:val="false"/>
                <w:color w:val="000000"/>
                <w:sz w:val="20"/>
                <w:szCs w:val="20"/>
              </w:rPr>
              <w:t xml:space="preserve">金融</w:t>
            </w:r>
          </w:p>
        </w:tc>
        <w:tc>
          <w:tcPr>
            <w:tcW w:type="dxa" w:w="7226"/>
            <w:shd w:fill="DCE6F1" w:val="clear"/>
            <w:tcMar>
              <w:top w:type="dxa" w:w="60"/>
              <w:left w:type="dxa" w:w="100"/>
              <w:bottom w:type="dxa" w:w="60"/>
              <w:right w:type="dxa" w:w="100"/>
            </w:tcMar>
          </w:tcPr>
          <w:p>
            <w:pPr>
              <w:jc w:val="left"/>
            </w:pPr>
            <w:r>
              <w:rPr>
                <w:b w:val="false"/>
                <w:bCs w:val="false"/>
                <w:color w:val="000000"/>
                <w:sz w:val="20"/>
                <w:szCs w:val="20"/>
              </w:rPr>
              <w:t xml:space="preserve">銀行・証券・保険向けの基幹システム、決済・保険業務の拡大支援、地域金融機関の取り込みを推進</w:t>
            </w:r>
          </w:p>
        </w:tc>
      </w:tr>
      <w:tr>
        <w:tc>
          <w:tcPr>
            <w:tcW w:type="dxa" w:w="1800"/>
            <w:tcMar>
              <w:top w:type="dxa" w:w="60"/>
              <w:left w:type="dxa" w:w="100"/>
              <w:bottom w:type="dxa" w:w="60"/>
              <w:right w:type="dxa" w:w="100"/>
            </w:tcMar>
          </w:tcPr>
          <w:p>
            <w:pPr>
              <w:jc w:val="left"/>
            </w:pPr>
            <w:r>
              <w:rPr>
                <w:b w:val="false"/>
                <w:bCs w:val="false"/>
                <w:color w:val="000000"/>
                <w:sz w:val="20"/>
                <w:szCs w:val="20"/>
              </w:rPr>
              <w:t xml:space="preserve">法人</w:t>
            </w:r>
          </w:p>
        </w:tc>
        <w:tc>
          <w:tcPr>
            <w:tcW w:type="dxa" w:w="7226"/>
            <w:tcMar>
              <w:top w:type="dxa" w:w="60"/>
              <w:left w:type="dxa" w:w="100"/>
              <w:bottom w:type="dxa" w:w="60"/>
              <w:right w:type="dxa" w:w="100"/>
            </w:tcMar>
          </w:tcPr>
          <w:p>
            <w:pPr>
              <w:jc w:val="left"/>
            </w:pPr>
            <w:r>
              <w:rPr>
                <w:b w:val="false"/>
                <w:bCs w:val="false"/>
                <w:color w:val="000000"/>
                <w:sz w:val="20"/>
                <w:szCs w:val="20"/>
              </w:rPr>
              <w:t xml:space="preserve">製造・流通・サービス業など向けのDX支援・業務システム構築</w:t>
            </w:r>
          </w:p>
        </w:tc>
      </w:tr>
    </w:tbl>
    <w:p>
      <w:pPr>
        <w:spacing w:after="120"/>
      </w:pPr>
    </w:p>
    <w:p>
      <w:pPr>
        <w:pStyle w:val="Heading2"/>
        <w:spacing w:after="120" w:before="240"/>
      </w:pPr>
      <w:r>
        <w:t xml:space="preserve">海外セグメント：NTT DATA, Inc.</w:t>
      </w:r>
    </w:p>
    <w:p>
      <w:pPr>
        <w:spacing w:after="120"/>
      </w:pPr>
      <w:r>
        <w:t xml:space="preserve">北米・欧州・APACなどでグローバルに事業展開し、現地企業のM&amp;Aによって規模を拡大してきた点が特徴。加えて、世界第3位規模のデータセンター事業（2025年3月末時点で約1,500MW）が近年の成長ドライバーになっている。</w:t>
      </w:r>
    </w:p>
    <w:p>
      <w:pPr>
        <w:pStyle w:val="Heading1"/>
        <w:spacing w:after="150" w:before="300"/>
      </w:pPr>
      <w:r>
        <w:t xml:space="preserve">5. 強み・差別化ポイント</w:t>
      </w:r>
    </w:p>
    <w:p>
      <w:pPr>
        <w:pStyle w:val="ListParagraph"/>
        <w:numPr>
          <w:ilvl w:val="0"/>
          <w:numId w:val="1"/>
        </w:numPr>
        <w:spacing w:after="60"/>
      </w:pPr>
      <w:r>
        <w:t xml:space="preserve">上流から下流までの一気通貫体制：課題抽出・業務改革の提案（コンサルティング）から、設計・開発・運用まで自社で担える。提言だけで終わらないのはNRIなど戦略コンサル系シンクタンクとの共通点だが、NTTデータは特に官公庁・金融・社会インフラの大規模システムで50年以上の実績と圧倒的なシェアを持つ点が独自の強み</w:t>
      </w:r>
    </w:p>
    <w:p>
      <w:pPr>
        <w:pStyle w:val="ListParagraph"/>
        <w:numPr>
          <w:ilvl w:val="0"/>
          <w:numId w:val="1"/>
        </w:numPr>
        <w:spacing w:after="60"/>
      </w:pPr>
      <w:r>
        <w:t xml:space="preserve">国内最大級のSIerとしての売上・利益規模：官公庁・金融・法人という景気変動に強い基幹領域で安定収益基盤を確保</w:t>
      </w:r>
    </w:p>
    <w:p>
      <w:pPr>
        <w:pStyle w:val="ListParagraph"/>
        <w:numPr>
          <w:ilvl w:val="0"/>
          <w:numId w:val="1"/>
        </w:numPr>
        <w:spacing w:after="60"/>
      </w:pPr>
      <w:r>
        <w:t xml:space="preserve">グローバル×データセンターの二重の成長エンジン：2005年以降の海外M&amp;Aで築いたグローバル拠点網と、生成AI時代に需要が急拡大するデータセンター事業（REIT活用による資本効率化も含む）を併せ持つ</w:t>
      </w:r>
    </w:p>
    <w:p>
      <w:pPr>
        <w:pStyle w:val="ListParagraph"/>
        <w:numPr>
          <w:ilvl w:val="0"/>
          <w:numId w:val="1"/>
        </w:numPr>
        <w:spacing w:after="60"/>
      </w:pPr>
      <w:r>
        <w:t xml:space="preserve">NTTグループの一員としての総合力：ドコモ（コンシューマ・通信インフラ）とは異なり、法人・公共・金融領域に特化しつつ、グループ内の研究開発（IOWN構想など）や通信インフラとも連携できる点</w:t>
      </w:r>
    </w:p>
    <w:p>
      <w:pPr>
        <w:pStyle w:val="Heading1"/>
        <w:spacing w:after="150" w:before="300"/>
      </w:pPr>
      <w:r>
        <w:t xml:space="preserve">6. 直近の業績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c>
          <w:tcPr>
            <w:tcW w:type="dxa" w:w="2600"/>
            <w:shd w:fill="1F3864" w:val="clear"/>
            <w:tcMar>
              <w:top w:type="dxa" w:w="60"/>
              <w:left w:type="dxa" w:w="100"/>
              <w:bottom w:type="dxa" w:w="60"/>
              <w:right w:type="dxa" w:w="100"/>
            </w:tcMar>
          </w:tcPr>
          <w:p>
            <w:pPr>
              <w:jc w:val="left"/>
            </w:pPr>
            <w:r>
              <w:rPr>
                <w:b/>
                <w:bCs/>
                <w:color w:val="FFFFFF"/>
                <w:sz w:val="20"/>
                <w:szCs w:val="20"/>
              </w:rPr>
              <w:t xml:space="preserve">期間</w:t>
            </w:r>
          </w:p>
        </w:tc>
        <w:tc>
          <w:tcPr>
            <w:tcW w:type="dxa" w:w="2200"/>
            <w:shd w:fill="1F3864" w:val="clear"/>
            <w:tcMar>
              <w:top w:type="dxa" w:w="60"/>
              <w:left w:type="dxa" w:w="100"/>
              <w:bottom w:type="dxa" w:w="60"/>
              <w:right w:type="dxa" w:w="100"/>
            </w:tcMar>
          </w:tcPr>
          <w:p>
            <w:pPr>
              <w:jc w:val="left"/>
            </w:pPr>
            <w:r>
              <w:rPr>
                <w:b/>
                <w:bCs/>
                <w:color w:val="FFFFFF"/>
                <w:sz w:val="20"/>
                <w:szCs w:val="20"/>
              </w:rPr>
              <w:t xml:space="preserve">売上高</w:t>
            </w:r>
          </w:p>
        </w:tc>
        <w:tc>
          <w:tcPr>
            <w:tcW w:type="dxa" w:w="2200"/>
            <w:shd w:fill="1F3864" w:val="clear"/>
            <w:tcMar>
              <w:top w:type="dxa" w:w="60"/>
              <w:left w:type="dxa" w:w="100"/>
              <w:bottom w:type="dxa" w:w="60"/>
              <w:right w:type="dxa" w:w="100"/>
            </w:tcMar>
          </w:tcPr>
          <w:p>
            <w:pPr>
              <w:jc w:val="left"/>
            </w:pPr>
            <w:r>
              <w:rPr>
                <w:b/>
                <w:bCs/>
                <w:color w:val="FFFFFF"/>
                <w:sz w:val="20"/>
                <w:szCs w:val="20"/>
              </w:rPr>
              <w:t xml:space="preserve">営業利益</w:t>
            </w:r>
          </w:p>
        </w:tc>
        <w:tc>
          <w:tcPr>
            <w:tcW w:type="dxa" w:w="2026"/>
            <w:shd w:fill="1F3864" w:val="clear"/>
            <w:tcMar>
              <w:top w:type="dxa" w:w="60"/>
              <w:left w:type="dxa" w:w="100"/>
              <w:bottom w:type="dxa" w:w="60"/>
              <w:right w:type="dxa" w:w="100"/>
            </w:tcMar>
          </w:tcPr>
          <w:p>
            <w:pPr>
              <w:jc w:val="left"/>
            </w:pPr>
            <w:r>
              <w:rPr>
                <w:b/>
                <w:bCs/>
                <w:color w:val="FFFFFF"/>
                <w:sz w:val="20"/>
                <w:szCs w:val="20"/>
              </w:rPr>
              <w:t xml:space="preserve">受注高</w:t>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2026年3月期（前期実績）</w:t>
            </w:r>
          </w:p>
        </w:tc>
        <w:tc>
          <w:tcPr>
            <w:tcW w:type="dxa" w:w="2200"/>
            <w:tcMar>
              <w:top w:type="dxa" w:w="60"/>
              <w:left w:type="dxa" w:w="100"/>
              <w:bottom w:type="dxa" w:w="60"/>
              <w:right w:type="dxa" w:w="100"/>
            </w:tcMar>
          </w:tcPr>
          <w:p>
            <w:pPr>
              <w:jc w:val="left"/>
            </w:pPr>
            <w:r>
              <w:rPr>
                <w:b w:val="false"/>
                <w:bCs w:val="false"/>
                <w:color w:val="000000"/>
                <w:sz w:val="20"/>
                <w:szCs w:val="20"/>
              </w:rPr>
              <w:t xml:space="preserve">5兆46億円（+8%）</w:t>
            </w:r>
          </w:p>
        </w:tc>
        <w:tc>
          <w:tcPr>
            <w:tcW w:type="dxa" w:w="2200"/>
            <w:tcMar>
              <w:top w:type="dxa" w:w="60"/>
              <w:left w:type="dxa" w:w="100"/>
              <w:bottom w:type="dxa" w:w="60"/>
              <w:right w:type="dxa" w:w="100"/>
            </w:tcMar>
          </w:tcPr>
          <w:p>
            <w:pPr>
              <w:jc w:val="left"/>
            </w:pPr>
            <w:r>
              <w:rPr>
                <w:b w:val="false"/>
                <w:bCs w:val="false"/>
                <w:color w:val="000000"/>
                <w:sz w:val="20"/>
                <w:szCs w:val="20"/>
              </w:rPr>
              <w:t xml:space="preserve">4,882億円（+51%）</w:t>
            </w:r>
          </w:p>
        </w:tc>
        <w:tc>
          <w:tcPr>
            <w:tcW w:type="dxa" w:w="2026"/>
            <w:tcMar>
              <w:top w:type="dxa" w:w="60"/>
              <w:left w:type="dxa" w:w="100"/>
              <w:bottom w:type="dxa" w:w="60"/>
              <w:right w:type="dxa" w:w="100"/>
            </w:tcMar>
          </w:tcPr>
          <w:p>
            <w:pPr>
              <w:jc w:val="left"/>
            </w:pPr>
            <w:r>
              <w:rPr>
                <w:b w:val="false"/>
                <w:bCs w:val="false"/>
                <w:color w:val="000000"/>
                <w:sz w:val="20"/>
                <w:szCs w:val="20"/>
              </w:rPr>
              <w:t xml:space="preserve">―</w:t>
            </w:r>
          </w:p>
        </w:tc>
      </w:tr>
      <w:tr>
        <w:tc>
          <w:tcPr>
            <w:tcW w:type="dxa" w:w="2600"/>
            <w:shd w:fill="DCE6F1" w:val="clear"/>
            <w:tcMar>
              <w:top w:type="dxa" w:w="60"/>
              <w:left w:type="dxa" w:w="100"/>
              <w:bottom w:type="dxa" w:w="60"/>
              <w:right w:type="dxa" w:w="100"/>
            </w:tcMar>
          </w:tcPr>
          <w:p>
            <w:pPr>
              <w:jc w:val="left"/>
            </w:pPr>
            <w:r>
              <w:rPr>
                <w:b w:val="false"/>
                <w:bCs w:val="false"/>
                <w:color w:val="000000"/>
                <w:sz w:val="20"/>
                <w:szCs w:val="20"/>
              </w:rPr>
              <w:t xml:space="preserve">2027年3月期（今期・通期予想）</w:t>
            </w:r>
          </w:p>
        </w:tc>
        <w:tc>
          <w:tcPr>
            <w:tcW w:type="dxa" w:w="2200"/>
            <w:shd w:fill="DCE6F1" w:val="clear"/>
            <w:tcMar>
              <w:top w:type="dxa" w:w="60"/>
              <w:left w:type="dxa" w:w="100"/>
              <w:bottom w:type="dxa" w:w="60"/>
              <w:right w:type="dxa" w:w="100"/>
            </w:tcMar>
          </w:tcPr>
          <w:p>
            <w:pPr>
              <w:jc w:val="left"/>
            </w:pPr>
            <w:r>
              <w:rPr>
                <w:b w:val="false"/>
                <w:bCs w:val="false"/>
                <w:color w:val="000000"/>
                <w:sz w:val="20"/>
                <w:szCs w:val="20"/>
              </w:rPr>
              <w:t xml:space="preserve">5兆1,900億円</w:t>
            </w:r>
          </w:p>
        </w:tc>
        <w:tc>
          <w:tcPr>
            <w:tcW w:type="dxa" w:w="2200"/>
            <w:shd w:fill="DCE6F1" w:val="clear"/>
            <w:tcMar>
              <w:top w:type="dxa" w:w="60"/>
              <w:left w:type="dxa" w:w="100"/>
              <w:bottom w:type="dxa" w:w="60"/>
              <w:right w:type="dxa" w:w="100"/>
            </w:tcMar>
          </w:tcPr>
          <w:p>
            <w:pPr>
              <w:jc w:val="left"/>
            </w:pPr>
            <w:r>
              <w:rPr>
                <w:b w:val="false"/>
                <w:bCs w:val="false"/>
                <w:color w:val="000000"/>
                <w:sz w:val="20"/>
                <w:szCs w:val="20"/>
              </w:rPr>
              <w:t xml:space="preserve">4,700億円（▲4%）</w:t>
            </w:r>
          </w:p>
        </w:tc>
        <w:tc>
          <w:tcPr>
            <w:tcW w:type="dxa" w:w="2026"/>
            <w:shd w:fill="DCE6F1" w:val="clear"/>
            <w:tcMar>
              <w:top w:type="dxa" w:w="60"/>
              <w:left w:type="dxa" w:w="100"/>
              <w:bottom w:type="dxa" w:w="60"/>
              <w:right w:type="dxa" w:w="100"/>
            </w:tcMar>
          </w:tcPr>
          <w:p>
            <w:pPr>
              <w:jc w:val="left"/>
            </w:pPr>
            <w:r>
              <w:rPr>
                <w:b w:val="false"/>
                <w:bCs w:val="false"/>
                <w:color w:val="000000"/>
                <w:sz w:val="20"/>
                <w:szCs w:val="20"/>
              </w:rPr>
              <w:t xml:space="preserve">52,000億円（DC事業除き）</w:t>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2027年3月期 第1四半期（実績・4〜6月）</w:t>
            </w:r>
          </w:p>
        </w:tc>
        <w:tc>
          <w:tcPr>
            <w:tcW w:type="dxa" w:w="2200"/>
            <w:tcMar>
              <w:top w:type="dxa" w:w="60"/>
              <w:left w:type="dxa" w:w="100"/>
              <w:bottom w:type="dxa" w:w="60"/>
              <w:right w:type="dxa" w:w="100"/>
            </w:tcMar>
          </w:tcPr>
          <w:p>
            <w:pPr>
              <w:jc w:val="left"/>
            </w:pPr>
            <w:r>
              <w:rPr>
                <w:b w:val="false"/>
                <w:bCs w:val="false"/>
                <w:color w:val="000000"/>
                <w:sz w:val="20"/>
                <w:szCs w:val="20"/>
              </w:rPr>
              <w:t xml:space="preserve">12,789億円（+15.8%）</w:t>
            </w:r>
          </w:p>
        </w:tc>
        <w:tc>
          <w:tcPr>
            <w:tcW w:type="dxa" w:w="2200"/>
            <w:tcMar>
              <w:top w:type="dxa" w:w="60"/>
              <w:left w:type="dxa" w:w="100"/>
              <w:bottom w:type="dxa" w:w="60"/>
              <w:right w:type="dxa" w:w="100"/>
            </w:tcMar>
          </w:tcPr>
          <w:p>
            <w:pPr>
              <w:jc w:val="left"/>
            </w:pPr>
            <w:r>
              <w:rPr>
                <w:b w:val="false"/>
                <w:bCs w:val="false"/>
                <w:color w:val="000000"/>
                <w:sz w:val="20"/>
                <w:szCs w:val="20"/>
              </w:rPr>
              <w:t xml:space="preserve">635億円（+9.9%）</w:t>
            </w:r>
          </w:p>
        </w:tc>
        <w:tc>
          <w:tcPr>
            <w:tcW w:type="dxa" w:w="2026"/>
            <w:tcMar>
              <w:top w:type="dxa" w:w="60"/>
              <w:left w:type="dxa" w:w="100"/>
              <w:bottom w:type="dxa" w:w="60"/>
              <w:right w:type="dxa" w:w="100"/>
            </w:tcMar>
          </w:tcPr>
          <w:p>
            <w:pPr>
              <w:jc w:val="left"/>
            </w:pPr>
            <w:r>
              <w:rPr>
                <w:b w:val="false"/>
                <w:bCs w:val="false"/>
                <w:color w:val="000000"/>
                <w:sz w:val="20"/>
                <w:szCs w:val="20"/>
              </w:rPr>
              <w:t xml:space="preserve">14,603億円（+29.7%）</w:t>
            </w:r>
          </w:p>
        </w:tc>
      </w:tr>
    </w:tbl>
    <w:p>
      <w:pPr>
        <w:spacing w:after="100"/>
      </w:pPr>
    </w:p>
    <w:p>
      <w:pPr>
        <w:pStyle w:val="ListParagraph"/>
        <w:numPr>
          <w:ilvl w:val="0"/>
          <w:numId w:val="1"/>
        </w:numPr>
        <w:spacing w:after="60"/>
      </w:pPr>
      <w:r>
        <w:t xml:space="preserve">2026年3月期の営業利益急増（+51%）はデータセンターのREITへの譲渡益計上が主因（一時的な要因）。2027年3月期は譲渡益の縮小により営業利益は反動減の計画</w:t>
      </w:r>
    </w:p>
    <w:p>
      <w:pPr>
        <w:pStyle w:val="ListParagraph"/>
        <w:numPr>
          <w:ilvl w:val="0"/>
          <w:numId w:val="1"/>
        </w:numPr>
        <w:spacing w:after="60"/>
      </w:pPr>
      <w:r>
        <w:t xml:space="preserve">2027年3月期第1四半期は売上高・営業利益ともに増収増益で、通期予想に対する進捗率は売上高24.6%・営業利益13.5%と、利益は下期偏重の計画。決算内容の詳細な要約は別ファイル「NTTデータ2026年度第1四半期決算_要点まとめ」を参照</w:t>
      </w:r>
    </w:p>
    <w:p>
      <w:pPr>
        <w:pStyle w:val="Heading1"/>
        <w:spacing w:after="150" w:before="300"/>
      </w:pPr>
      <w:r>
        <w:t xml:space="preserve">7. 直近の主要トピックス</w:t>
      </w:r>
    </w:p>
    <w:p>
      <w:pPr>
        <w:pStyle w:val="ListParagraph"/>
        <w:numPr>
          <w:ilvl w:val="0"/>
          <w:numId w:val="1"/>
        </w:numPr>
        <w:spacing w:after="60"/>
      </w:pPr>
      <w:r>
        <w:t xml:space="preserve">NTTによる完全子会社化・上場廃止（2025年9月26日）：取得総額2.3兆円規模のTOBにより、NTTが1985年の民営化以降切り離してきた主要企業を再統合する流れの一環（2020年のドコモ完全子会社化に続く）。グループとしての世界展開・機動的な意思決定を狙いとする</w:t>
      </w:r>
    </w:p>
    <w:p>
      <w:pPr>
        <w:pStyle w:val="ListParagraph"/>
        <w:numPr>
          <w:ilvl w:val="0"/>
          <w:numId w:val="1"/>
        </w:numPr>
        <w:spacing w:after="60"/>
      </w:pPr>
      <w:r>
        <w:t xml:space="preserve">データセンター専用REIT「NTT DC REIT」のシンガポール上場（2025年7月）：米国・豪州・シンガポールの6拠点DC（総電力容量約90MW）を対象に、資産の証券化による資本効率化と成長投資の両立を図る動き</w:t>
      </w:r>
    </w:p>
    <w:p>
      <w:pPr>
        <w:pStyle w:val="ListParagraph"/>
        <w:numPr>
          <w:ilvl w:val="0"/>
          <w:numId w:val="1"/>
        </w:numPr>
        <w:spacing w:after="60"/>
      </w:pPr>
      <w:r>
        <w:t xml:space="preserve">社長交代（2026年6月）：財務畑出身の中山和彦氏が新社長に就任し、「人月ビジネスからの脱却」「EBITDA1.2兆円（2030年度）」という成長戦略を明確に打ち出している</w:t>
      </w:r>
    </w:p>
    <w:p>
      <w:pPr>
        <w:pStyle w:val="ListParagraph"/>
        <w:numPr>
          <w:ilvl w:val="0"/>
          <w:numId w:val="1"/>
        </w:numPr>
        <w:spacing w:after="60"/>
      </w:pPr>
      <w:r>
        <w:t xml:space="preserve">AI関連の事業拡大（2026年度第1四半期）：コアAIプラットフォーム「NTT DATA AIVista」の提供開始、フロンティアAIによるサイバーリスク対応サービス、NTTマーケティングアクトProCX合弁会社化、米国WinWire Technologies買収など、AIを軸にした成長投資を加速</w:t>
      </w:r>
    </w:p>
    <w:p>
      <w:r>
        <w:br w:type="page"/>
      </w:r>
    </w:p>
    <w:p>
      <w:pPr>
        <w:pStyle w:val="Heading1"/>
        <w:spacing w:after="150" w:before="300"/>
      </w:pPr>
      <w:r>
        <w:t xml:space="preserve">8. QA想定問答（インターン・面接対策）</w:t>
      </w:r>
    </w:p>
    <w:p>
      <w:pPr>
        <w:spacing w:after="40" w:before="160"/>
      </w:pPr>
      <w:r>
        <w:rPr>
          <w:b/>
          <w:bCs/>
          <w:sz w:val="21"/>
          <w:szCs w:val="21"/>
        </w:rPr>
        <w:t xml:space="preserve">Q. なぜNTTデータか（他のSIer・コンサルではなく）</w:t>
      </w:r>
    </w:p>
    <w:p>
      <w:pPr>
        <w:spacing w:after="60"/>
        <w:ind w:left="200"/>
      </w:pPr>
      <w:r>
        <w:rPr>
          <w:sz w:val="21"/>
          <w:szCs w:val="21"/>
        </w:rPr>
        <w:t xml:space="preserve">A. 官公庁・金融・法人という社会の基盤を支える大規模システムに、提案から開発・運用まで一気通貫で関われる点に惹かれた、という方向性で語れる。ノジマコールセンターで培った顧客対応力や、ベイスターズインターンでのアンケート分析経験（クロス分析・相関分析）を、クライアントの課題把握やデータ活用提案に活かしたいという接続もできる。</w:t>
      </w:r>
    </w:p>
    <w:p>
      <w:pPr>
        <w:spacing w:after="40" w:before="160"/>
      </w:pPr>
      <w:r>
        <w:rPr>
          <w:b/>
          <w:bCs/>
          <w:sz w:val="21"/>
          <w:szCs w:val="21"/>
        </w:rPr>
        <w:t xml:space="preserve">Q. NTTデータの現在の経営課題・戦略をどう見るか</w:t>
      </w:r>
    </w:p>
    <w:p>
      <w:pPr>
        <w:spacing w:after="60"/>
        <w:ind w:left="200"/>
      </w:pPr>
      <w:r>
        <w:rPr>
          <w:sz w:val="21"/>
          <w:szCs w:val="21"/>
        </w:rPr>
        <w:t xml:space="preserve">A. 2026年6月に就任した中山新社長が掲げる「人月ビジネスからの脱却」「2030年度EBITDA1.2兆円」という目標を材料に、エンジニアの稼働時間に依存しない「アセット型ビジネス」（AI活用基盤・データセンター）への転換が今後の焦点だと説明できる。</w:t>
      </w:r>
    </w:p>
    <w:p>
      <w:pPr>
        <w:spacing w:after="40" w:before="160"/>
      </w:pPr>
      <w:r>
        <w:rPr>
          <w:b/>
          <w:bCs/>
          <w:sz w:val="21"/>
          <w:szCs w:val="21"/>
        </w:rPr>
        <w:t xml:space="preserve">Q. NTTによる完全子会社化・上場廃止をどう捉えるか</w:t>
      </w:r>
    </w:p>
    <w:p>
      <w:pPr>
        <w:spacing w:after="60"/>
        <w:ind w:left="200"/>
      </w:pPr>
      <w:r>
        <w:rPr>
          <w:sz w:val="21"/>
          <w:szCs w:val="21"/>
        </w:rPr>
        <w:t xml:space="preserve">A. NTTグループ全体としての世界展開力強化や、グループ内での機動的な意思決定・投資判断を可能にする狙いがあると考えられる。ドコモの完全子会社化（2020年）と同じ文脈にあることを踏まえ、NTTグループの再統合という大きな流れの中でNTTデータを位置づけて語れると理解の深さを示せる。</w:t>
      </w:r>
    </w:p>
    <w:p>
      <w:pPr>
        <w:spacing w:after="40" w:before="160"/>
      </w:pPr>
      <w:r>
        <w:rPr>
          <w:b/>
          <w:bCs/>
          <w:sz w:val="21"/>
          <w:szCs w:val="21"/>
        </w:rPr>
        <w:t xml:space="preserve">Q. データセンター事業の急拡大についてどう考えるか</w:t>
      </w:r>
    </w:p>
    <w:p>
      <w:pPr>
        <w:spacing w:after="60"/>
        <w:ind w:left="200"/>
      </w:pPr>
      <w:r>
        <w:rPr>
          <w:sz w:val="21"/>
          <w:szCs w:val="21"/>
        </w:rPr>
        <w:t xml:space="preserve">A. 生成AIの普及でデータセンター需要が世界的に拡大する中、世界第3位規模の事業基盤を持つNTTデータにとって明確な成長機会。一方でREITを活用した資産の証券化（シンガポール上場）のように、事業拡大と資本効率化を両立させる工夫をしている点も評価できる。</w:t>
      </w:r>
    </w:p>
    <w:p>
      <w:pPr>
        <w:spacing w:after="40" w:before="160"/>
      </w:pPr>
      <w:r>
        <w:rPr>
          <w:b/>
          <w:bCs/>
          <w:sz w:val="21"/>
          <w:szCs w:val="21"/>
        </w:rPr>
        <w:t xml:space="preserve">Q. あなたの強みをNTTデータでどう活かせるか</w:t>
      </w:r>
    </w:p>
    <w:p>
      <w:pPr>
        <w:spacing w:after="60"/>
        <w:ind w:left="200"/>
      </w:pPr>
      <w:r>
        <w:rPr>
          <w:sz w:val="21"/>
          <w:szCs w:val="21"/>
        </w:rPr>
        <w:t xml:space="preserve">A. 統計検定2級・基本情報技術者で培ったデータ分析の基礎知識と、ノジマコールセンターでの顧客対応経験を掛け合わせ、クライアントの課題を定量的に把握し、現場に寄り添った提案ができる人材になりたい、という方向性で語れる。</w:t>
      </w:r>
    </w:p>
    <w:p>
      <w:pPr>
        <w:spacing w:after="40" w:before="160"/>
      </w:pPr>
      <w:r>
        <w:rPr>
          <w:b/>
          <w:bCs/>
          <w:sz w:val="21"/>
          <w:szCs w:val="21"/>
        </w:rPr>
        <w:t xml:space="preserve">Q. ドコモ（大貴が並行して研究している企業）とNTTデータの違いは？</w:t>
      </w:r>
    </w:p>
    <w:p>
      <w:pPr>
        <w:spacing w:after="60"/>
        <w:ind w:left="200"/>
      </w:pPr>
      <w:r>
        <w:rPr>
          <w:sz w:val="21"/>
          <w:szCs w:val="21"/>
        </w:rPr>
        <w:t xml:space="preserve">A. どちらもNTTグループだが、ドコモはコンシューマ向け通信・新規事業が中心であるのに対し、NTTデータは官公庁・金融・法人向けの基幹システム構築が中心。「個人向けの体験」を作るドコモと、「社会インフラを支えるシステム」を作るNTTデータという対比で語ると整理しやすい。</w:t>
      </w:r>
    </w:p>
    <w:p>
      <w:pPr>
        <w:spacing w:after="40" w:before="160"/>
      </w:pPr>
      <w:r>
        <w:rPr>
          <w:b/>
          <w:bCs/>
          <w:sz w:val="21"/>
          <w:szCs w:val="21"/>
        </w:rPr>
        <w:t xml:space="preserve">Q. なぜデータサイエンティストコースを選んだか</w:t>
      </w:r>
    </w:p>
    <w:p>
      <w:pPr>
        <w:spacing w:after="60"/>
        <w:ind w:left="200"/>
      </w:pPr>
      <w:r>
        <w:rPr>
          <w:sz w:val="21"/>
          <w:szCs w:val="21"/>
        </w:rPr>
        <w:t xml:space="preserve">A. 統計検定2級・基本情報技術者で培ったデータ分析の基礎知識と、ベイスターズインターンでのアンケート分析（クロス分析・相関分析）の実務経験を、企業のAI・データ活用の現場で試してみたいという方向性で語れる。NTTデータが「上流から下流までトータルで支援する」ビジネスモデルを持つ点と、コーステーマの「データ取り込み〜可視化・分析まで一気通貫で体験する」という設計が一致している点も接続できる。</w:t>
      </w:r>
    </w:p>
    <w:p>
      <w:pPr>
        <w:pStyle w:val="Heading1"/>
        <w:spacing w:after="150" w:before="300"/>
      </w:pPr>
      <w:r>
        <w:t xml:space="preserve">出典</w:t>
      </w:r>
    </w:p>
    <w:p>
      <w:pPr>
        <w:spacing w:after="120"/>
      </w:pPr>
      <w:r>
        <w:rPr>
          <w:sz w:val="20"/>
          <w:szCs w:val="20"/>
        </w:rPr>
        <w:t xml:space="preserve">株式会社NTTデータグループ「2026年度 第1四半期 決算説明資料」（2026年8月6日発表）</w:t>
      </w:r>
    </w:p>
    <w:p>
      <w:pPr>
        <w:spacing w:after="120"/>
      </w:pPr>
      <w:r>
        <w:rPr>
          <w:sz w:val="20"/>
          <w:szCs w:val="20"/>
        </w:rPr>
        <w:t xml:space="preserve">2026年3月期 第3四半期決算について｜NTTデータグループ（xtech.nikkei.com記事等の検索結果経由）</w:t>
      </w:r>
    </w:p>
    <w:p>
      <w:pPr>
        <w:spacing w:after="120"/>
      </w:pPr>
      <w:r>
        <w:rPr>
          <w:sz w:val="20"/>
          <w:szCs w:val="20"/>
        </w:rPr>
        <w:t xml:space="preserve">中期経営計画｜NTTデータグループ、NTTグループ中期経営戦略｜NTT（検索結果経由）</w:t>
      </w:r>
    </w:p>
    <w:p>
      <w:pPr>
        <w:spacing w:after="120"/>
      </w:pPr>
      <w:r>
        <w:rPr>
          <w:sz w:val="20"/>
          <w:szCs w:val="20"/>
        </w:rPr>
        <w:t xml:space="preserve">当社株式の上場廃止のお知らせ｜NTTデータグループ、NTTデータグループが上場廃止、TOBによりNTTの完全子会社へ｜マイナビニュース</w:t>
      </w:r>
    </w:p>
    <w:p>
      <w:pPr>
        <w:spacing w:after="120"/>
      </w:pPr>
      <w:r>
        <w:rPr>
          <w:sz w:val="20"/>
          <w:szCs w:val="20"/>
        </w:rPr>
        <w:t xml:space="preserve">「NTT DC REIT」、シンガポール証券取引所へ上場｜NTTデータグループ</w:t>
      </w:r>
    </w:p>
    <w:p>
      <w:pPr>
        <w:spacing w:after="120"/>
      </w:pPr>
      <w:r>
        <w:rPr>
          <w:sz w:val="20"/>
          <w:szCs w:val="20"/>
        </w:rPr>
        <w:t xml:space="preserve">NTTデータグループ、次期社長に中山和彦氏が昇格｜Biz/Zine、NTTデータG・中山新社長が明かす、AI時代の成長戦略｜Business Insider Japan</w:t>
      </w:r>
    </w:p>
    <w:p>
      <w:pPr>
        <w:spacing w:after="120"/>
      </w:pPr>
      <w:r>
        <w:rPr>
          <w:sz w:val="20"/>
          <w:szCs w:val="20"/>
        </w:rPr>
        <w:t xml:space="preserve">NTTデータの強み・特徴は？｜シンシアード、【27卒版】NTTデータの現場受入れ型インターンを突破する方法｜note</w:t>
      </w:r>
    </w:p>
    <w:p>
      <w:pPr>
        <w:spacing w:after="120"/>
      </w:pPr>
      <w:r>
        <w:rPr>
          <w:i/>
          <w:iCs/>
          <w:color w:val="666666"/>
          <w:sz w:val="18"/>
          <w:szCs w:val="18"/>
        </w:rPr>
        <w:t xml:space="preserve">※本セッションはネットワーク制限によりNTTデータ公式サイト（nttdata.com）・Wikipedia等への直接アクセスがブロックされたため、決算説明資料PDF以外はWebSearchの検索結果スニペットを集約したもの。面接・ES等で数値を使う前に一次資料での再確認を推奨す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2026-09-02T00:22:37.764Z</dcterms:created>
  <dcterms:modified xsi:type="dcterms:W3CDTF">2026-09-02T00:22:37.765Z</dcterms:modified>
</cp:coreProperties>
</file>

<file path=docProps/custom.xml><?xml version="1.0" encoding="utf-8"?>
<Properties xmlns="http://schemas.openxmlformats.org/officeDocument/2006/custom-properties" xmlns:vt="http://schemas.openxmlformats.org/officeDocument/2006/docPropsVTypes"/>
</file>