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rPr>
          <w:color w:val="595959"/>
          <w:sz w:val="22"/>
          <w:szCs w:val="22"/>
        </w:rPr>
        <w:t xml:space="preserve">企業研究資料</w:t>
      </w:r>
    </w:p>
    <w:p>
      <w:pPr>
        <w:spacing w:after="100"/>
      </w:pPr>
      <w:r>
        <w:rPr>
          <w:b/>
          <w:bCs/>
          <w:color w:val="0B3B6B"/>
          <w:sz w:val="40"/>
          <w:szCs w:val="40"/>
        </w:rPr>
        <w:t xml:space="preserve">伊藤忠テクノソリューションズ株式会社（CTC）</w:t>
      </w:r>
    </w:p>
    <w:p>
      <w:pPr>
        <w:spacing w:after="400"/>
      </w:pPr>
      <w:r>
        <w:rPr>
          <w:i/>
          <w:iCs/>
          <w:color w:val="C8102E"/>
          <w:sz w:val="24"/>
          <w:szCs w:val="24"/>
        </w:rPr>
        <w:t xml:space="preserve">ITOCHU Techno-Solutions Corporation</w:t>
      </w:r>
    </w:p>
    <w:p>
      <w:pPr>
        <w:spacing w:after="60"/>
      </w:pPr>
      <w:r>
        <w:rPr>
          <w:color w:val="595959"/>
          <w:sz w:val="20"/>
          <w:szCs w:val="20"/>
        </w:rPr>
        <w:t xml:space="preserve">作成目的：大貴のインターンシップ選考対策</w:t>
      </w:r>
    </w:p>
    <w:p>
      <w:pPr>
        <w:spacing w:after="60"/>
      </w:pPr>
      <w:r>
        <w:rPr>
          <w:color w:val="595959"/>
          <w:sz w:val="20"/>
          <w:szCs w:val="20"/>
        </w:rPr>
        <w:t xml:space="preserve">作成日：2026年8月20日</w:t>
      </w:r>
    </w:p>
    <w:p>
      <w:pPr>
        <w:spacing w:after="600"/>
      </w:pPr>
      <w:r>
        <w:rPr>
          <w:color w:val="595959"/>
          <w:sz w:val="18"/>
          <w:szCs w:val="18"/>
        </w:rPr>
        <w:t xml:space="preserve">参照資料：CTC Corporate Book「Best Engine」Vol.18（2025-26年版、会社提供資料）、公開情報（下記出典参照）</w:t>
      </w:r>
    </w:p>
    <w:p>
      <w:pPr>
        <w:pStyle w:val="Heading2"/>
        <w:spacing w:after="120" w:before="300"/>
      </w:pPr>
      <w:r>
        <w:rPr>
          <w:b/>
          <w:bCs/>
          <w:color w:val="0B3B6B"/>
          <w:sz w:val="24"/>
          <w:szCs w:val="24"/>
        </w:rPr>
        <w:t xml:space="preserve">目次</w:t>
      </w:r>
    </w:p>
    <w:p>
      <w:pPr>
        <w:pStyle w:val="ListParagraph"/>
        <w:numPr>
          <w:ilvl w:val="0"/>
          <w:numId w:val="2"/>
        </w:numPr>
        <w:spacing w:after="80" w:line="280"/>
      </w:pPr>
      <w:r>
        <w:rPr>
          <w:sz w:val="21"/>
          <w:szCs w:val="21"/>
        </w:rPr>
        <w:t xml:space="preserve">1. 会社概要</w:t>
      </w:r>
    </w:p>
    <w:p>
      <w:pPr>
        <w:pStyle w:val="ListParagraph"/>
        <w:numPr>
          <w:ilvl w:val="0"/>
          <w:numId w:val="2"/>
        </w:numPr>
        <w:spacing w:after="80" w:line="280"/>
      </w:pPr>
      <w:r>
        <w:rPr>
          <w:sz w:val="21"/>
          <w:szCs w:val="21"/>
        </w:rPr>
        <w:t xml:space="preserve">2. 沿革</w:t>
      </w:r>
    </w:p>
    <w:p>
      <w:pPr>
        <w:pStyle w:val="ListParagraph"/>
        <w:numPr>
          <w:ilvl w:val="0"/>
          <w:numId w:val="2"/>
        </w:numPr>
        <w:spacing w:after="80" w:line="280"/>
      </w:pPr>
      <w:r>
        <w:rPr>
          <w:sz w:val="21"/>
          <w:szCs w:val="21"/>
        </w:rPr>
        <w:t xml:space="preserve">3. 企業理念・CEOメッセージ</w:t>
      </w:r>
    </w:p>
    <w:p>
      <w:pPr>
        <w:pStyle w:val="ListParagraph"/>
        <w:numPr>
          <w:ilvl w:val="0"/>
          <w:numId w:val="2"/>
        </w:numPr>
        <w:spacing w:after="80" w:line="280"/>
      </w:pPr>
      <w:r>
        <w:rPr>
          <w:sz w:val="21"/>
          <w:szCs w:val="21"/>
        </w:rPr>
        <w:t xml:space="preserve">4. 事業内容・ビジネスモデル</w:t>
      </w:r>
    </w:p>
    <w:p>
      <w:pPr>
        <w:pStyle w:val="ListParagraph"/>
        <w:numPr>
          <w:ilvl w:val="0"/>
          <w:numId w:val="2"/>
        </w:numPr>
        <w:spacing w:after="80" w:line="280"/>
      </w:pPr>
      <w:r>
        <w:rPr>
          <w:sz w:val="21"/>
          <w:szCs w:val="21"/>
        </w:rPr>
        <w:t xml:space="preserve">5. 組織体制・グループ会社・海外拠点</w:t>
      </w:r>
    </w:p>
    <w:p>
      <w:pPr>
        <w:pStyle w:val="ListParagraph"/>
        <w:numPr>
          <w:ilvl w:val="0"/>
          <w:numId w:val="2"/>
        </w:numPr>
        <w:spacing w:after="80" w:line="280"/>
      </w:pPr>
      <w:r>
        <w:rPr>
          <w:sz w:val="21"/>
          <w:szCs w:val="21"/>
        </w:rPr>
        <w:t xml:space="preserve">6. 顧客基盤</w:t>
      </w:r>
    </w:p>
    <w:p>
      <w:pPr>
        <w:pStyle w:val="ListParagraph"/>
        <w:numPr>
          <w:ilvl w:val="0"/>
          <w:numId w:val="2"/>
        </w:numPr>
        <w:spacing w:after="80" w:line="280"/>
      </w:pPr>
      <w:r>
        <w:rPr>
          <w:sz w:val="21"/>
          <w:szCs w:val="21"/>
        </w:rPr>
        <w:t xml:space="preserve">7. 強み・差別化ポイント</w:t>
      </w:r>
    </w:p>
    <w:p>
      <w:pPr>
        <w:pStyle w:val="ListParagraph"/>
        <w:numPr>
          <w:ilvl w:val="0"/>
          <w:numId w:val="2"/>
        </w:numPr>
        <w:spacing w:after="80" w:line="280"/>
      </w:pPr>
      <w:r>
        <w:rPr>
          <w:sz w:val="21"/>
          <w:szCs w:val="21"/>
        </w:rPr>
        <w:t xml:space="preserve">8. 直近の技術トピックス（CTC UPDATE）</w:t>
      </w:r>
    </w:p>
    <w:p>
      <w:pPr>
        <w:pStyle w:val="ListParagraph"/>
        <w:numPr>
          <w:ilvl w:val="0"/>
          <w:numId w:val="2"/>
        </w:numPr>
        <w:spacing w:after="80" w:line="280"/>
      </w:pPr>
      <w:r>
        <w:rPr>
          <w:sz w:val="21"/>
          <w:szCs w:val="21"/>
        </w:rPr>
        <w:t xml:space="preserve">9. 直近の業績（財務ハイライト）</w:t>
      </w:r>
    </w:p>
    <w:p>
      <w:pPr>
        <w:pStyle w:val="ListParagraph"/>
        <w:numPr>
          <w:ilvl w:val="0"/>
          <w:numId w:val="2"/>
        </w:numPr>
        <w:spacing w:after="80" w:line="280"/>
      </w:pPr>
      <w:r>
        <w:rPr>
          <w:sz w:val="21"/>
          <w:szCs w:val="21"/>
        </w:rPr>
        <w:t xml:space="preserve">10. 人的資本データ・働き方</w:t>
      </w:r>
    </w:p>
    <w:p>
      <w:pPr>
        <w:pStyle w:val="ListParagraph"/>
        <w:numPr>
          <w:ilvl w:val="0"/>
          <w:numId w:val="2"/>
        </w:numPr>
        <w:spacing w:after="80" w:line="280"/>
      </w:pPr>
      <w:r>
        <w:rPr>
          <w:sz w:val="21"/>
          <w:szCs w:val="21"/>
        </w:rPr>
        <w:t xml:space="preserve">11. 社員インタビューから見る社風</w:t>
      </w:r>
    </w:p>
    <w:p>
      <w:pPr>
        <w:pStyle w:val="ListParagraph"/>
        <w:numPr>
          <w:ilvl w:val="0"/>
          <w:numId w:val="2"/>
        </w:numPr>
        <w:spacing w:after="80" w:line="280"/>
      </w:pPr>
      <w:r>
        <w:rPr>
          <w:sz w:val="21"/>
          <w:szCs w:val="21"/>
        </w:rPr>
        <w:t xml:space="preserve">12. インターンシップ選考の傾向</w:t>
      </w:r>
    </w:p>
    <w:p>
      <w:pPr>
        <w:pStyle w:val="ListParagraph"/>
        <w:numPr>
          <w:ilvl w:val="0"/>
          <w:numId w:val="2"/>
        </w:numPr>
        <w:spacing w:after="80" w:line="280"/>
      </w:pPr>
      <w:r>
        <w:rPr>
          <w:sz w:val="21"/>
          <w:szCs w:val="21"/>
        </w:rPr>
        <w:t xml:space="preserve">13. 企業理解のためのQA（想定問答）</w:t>
      </w:r>
    </w:p>
    <w:p>
      <w:pPr>
        <w:pStyle w:val="ListParagraph"/>
        <w:numPr>
          <w:ilvl w:val="0"/>
          <w:numId w:val="2"/>
        </w:numPr>
        <w:spacing w:after="80" w:line="280"/>
      </w:pPr>
      <w:r>
        <w:rPr>
          <w:sz w:val="21"/>
          <w:szCs w:val="21"/>
        </w:rPr>
        <w:t xml:space="preserve">14. 出典</w:t>
      </w:r>
    </w:p>
    <w:p>
      <w:r>
        <w:br w:type="page"/>
      </w:r>
    </w:p>
    <w:p>
      <w:pPr>
        <w:pStyle w:val="Heading1"/>
        <w:pBdr>
          <w:bottom w:val="single" w:color="0B3B6B" w:sz="8" w:space="4"/>
        </w:pBdr>
        <w:spacing w:after="200" w:before="400"/>
      </w:pPr>
      <w:r>
        <w:rPr>
          <w:b/>
          <w:bCs/>
          <w:color w:val="0B3B6B"/>
          <w:sz w:val="30"/>
          <w:szCs w:val="30"/>
        </w:rPr>
        <w:t xml:space="preserve">1. 会社概要</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tblHeader/>
        </w:trPr>
        <w:tc>
          <w:tcPr>
            <w:tcW w:type="dxa" w:w="2400"/>
            <w:shd w:fill="0B3B6B" w:val="clear"/>
            <w:tcMar>
              <w:top w:type="dxa" w:w="60"/>
              <w:left w:type="dxa" w:w="100"/>
              <w:bottom w:type="dxa" w:w="60"/>
              <w:right w:type="dxa" w:w="100"/>
            </w:tcMar>
            <w:vAlign w:val="center"/>
          </w:tcPr>
          <w:p>
            <w:r>
              <w:rPr>
                <w:b/>
                <w:bCs/>
                <w:color w:val="FFFFFF"/>
                <w:sz w:val="20"/>
                <w:szCs w:val="20"/>
              </w:rPr>
              <w:t xml:space="preserve">項目</w:t>
            </w:r>
          </w:p>
        </w:tc>
        <w:tc>
          <w:tcPr>
            <w:tcW w:type="dxa" w:w="7500"/>
            <w:shd w:fill="0B3B6B" w:val="clear"/>
            <w:tcMar>
              <w:top w:type="dxa" w:w="60"/>
              <w:left w:type="dxa" w:w="100"/>
              <w:bottom w:type="dxa" w:w="60"/>
              <w:right w:type="dxa" w:w="100"/>
            </w:tcMar>
            <w:vAlign w:val="center"/>
          </w:tcPr>
          <w:p>
            <w:r>
              <w:rPr>
                <w:b/>
                <w:bCs/>
                <w:color w:val="FFFFFF"/>
                <w:sz w:val="20"/>
                <w:szCs w:val="20"/>
              </w:rPr>
              <w:t xml:space="preserve">内容</w:t>
            </w:r>
          </w:p>
        </w:tc>
      </w:tr>
      <w:tr>
        <w:tc>
          <w:tcPr>
            <w:tcW w:type="dxa" w:w="2400"/>
            <w:shd w:fill="FFFFFF" w:val="clear"/>
            <w:tcMar>
              <w:top w:type="dxa" w:w="60"/>
              <w:left w:type="dxa" w:w="100"/>
              <w:bottom w:type="dxa" w:w="60"/>
              <w:right w:type="dxa" w:w="100"/>
            </w:tcMar>
            <w:vAlign w:val="center"/>
          </w:tcPr>
          <w:p>
            <w:pPr>
              <w:spacing w:after="40"/>
            </w:pPr>
            <w:r>
              <w:rPr>
                <w:sz w:val="20"/>
                <w:szCs w:val="20"/>
              </w:rPr>
              <w:t xml:space="preserve">会社名</w:t>
            </w:r>
          </w:p>
        </w:tc>
        <w:tc>
          <w:tcPr>
            <w:tcW w:type="dxa" w:w="7500"/>
            <w:shd w:fill="FFFFFF" w:val="clear"/>
            <w:tcMar>
              <w:top w:type="dxa" w:w="60"/>
              <w:left w:type="dxa" w:w="100"/>
              <w:bottom w:type="dxa" w:w="60"/>
              <w:right w:type="dxa" w:w="100"/>
            </w:tcMar>
            <w:vAlign w:val="center"/>
          </w:tcPr>
          <w:p>
            <w:pPr>
              <w:spacing w:after="40"/>
            </w:pPr>
            <w:r>
              <w:rPr>
                <w:sz w:val="20"/>
                <w:szCs w:val="20"/>
              </w:rPr>
              <w:t xml:space="preserve">伊藤忠テクノソリューションズ株式会社（略称：CTC）</w:t>
            </w:r>
          </w:p>
        </w:tc>
      </w:tr>
      <w:tr>
        <w:tc>
          <w:tcPr>
            <w:tcW w:type="dxa" w:w="2400"/>
            <w:shd w:fill="EAF1F8" w:val="clear"/>
            <w:tcMar>
              <w:top w:type="dxa" w:w="60"/>
              <w:left w:type="dxa" w:w="100"/>
              <w:bottom w:type="dxa" w:w="60"/>
              <w:right w:type="dxa" w:w="100"/>
            </w:tcMar>
            <w:vAlign w:val="center"/>
          </w:tcPr>
          <w:p>
            <w:pPr>
              <w:spacing w:after="40"/>
            </w:pPr>
            <w:r>
              <w:rPr>
                <w:sz w:val="20"/>
                <w:szCs w:val="20"/>
              </w:rPr>
              <w:t xml:space="preserve">英文社名</w:t>
            </w:r>
          </w:p>
        </w:tc>
        <w:tc>
          <w:tcPr>
            <w:tcW w:type="dxa" w:w="7500"/>
            <w:shd w:fill="EAF1F8" w:val="clear"/>
            <w:tcMar>
              <w:top w:type="dxa" w:w="60"/>
              <w:left w:type="dxa" w:w="100"/>
              <w:bottom w:type="dxa" w:w="60"/>
              <w:right w:type="dxa" w:w="100"/>
            </w:tcMar>
            <w:vAlign w:val="center"/>
          </w:tcPr>
          <w:p>
            <w:pPr>
              <w:spacing w:after="40"/>
            </w:pPr>
            <w:r>
              <w:rPr>
                <w:sz w:val="20"/>
                <w:szCs w:val="20"/>
              </w:rPr>
              <w:t xml:space="preserve">ITOCHU Techno-Solutions Corporation</w:t>
            </w:r>
          </w:p>
        </w:tc>
      </w:tr>
      <w:tr>
        <w:tc>
          <w:tcPr>
            <w:tcW w:type="dxa" w:w="2400"/>
            <w:shd w:fill="FFFFFF" w:val="clear"/>
            <w:tcMar>
              <w:top w:type="dxa" w:w="60"/>
              <w:left w:type="dxa" w:w="100"/>
              <w:bottom w:type="dxa" w:w="60"/>
              <w:right w:type="dxa" w:w="100"/>
            </w:tcMar>
            <w:vAlign w:val="center"/>
          </w:tcPr>
          <w:p>
            <w:pPr>
              <w:spacing w:after="40"/>
            </w:pPr>
            <w:r>
              <w:rPr>
                <w:sz w:val="20"/>
                <w:szCs w:val="20"/>
              </w:rPr>
              <w:t xml:space="preserve">本社所在地</w:t>
            </w:r>
          </w:p>
        </w:tc>
        <w:tc>
          <w:tcPr>
            <w:tcW w:type="dxa" w:w="7500"/>
            <w:shd w:fill="FFFFFF" w:val="clear"/>
            <w:tcMar>
              <w:top w:type="dxa" w:w="60"/>
              <w:left w:type="dxa" w:w="100"/>
              <w:bottom w:type="dxa" w:w="60"/>
              <w:right w:type="dxa" w:w="100"/>
            </w:tcMar>
            <w:vAlign w:val="center"/>
          </w:tcPr>
          <w:p>
            <w:pPr>
              <w:spacing w:after="40"/>
            </w:pPr>
            <w:r>
              <w:rPr>
                <w:sz w:val="20"/>
                <w:szCs w:val="20"/>
              </w:rPr>
              <w:t xml:space="preserve">〒105-6950　東京都港区虎ノ門4-1-1　神谷町トラストタワー</w:t>
            </w:r>
          </w:p>
        </w:tc>
      </w:tr>
      <w:tr>
        <w:tc>
          <w:tcPr>
            <w:tcW w:type="dxa" w:w="2400"/>
            <w:shd w:fill="EAF1F8" w:val="clear"/>
            <w:tcMar>
              <w:top w:type="dxa" w:w="60"/>
              <w:left w:type="dxa" w:w="100"/>
              <w:bottom w:type="dxa" w:w="60"/>
              <w:right w:type="dxa" w:w="100"/>
            </w:tcMar>
            <w:vAlign w:val="center"/>
          </w:tcPr>
          <w:p>
            <w:pPr>
              <w:spacing w:after="40"/>
            </w:pPr>
            <w:r>
              <w:rPr>
                <w:sz w:val="20"/>
                <w:szCs w:val="20"/>
              </w:rPr>
              <w:t xml:space="preserve">代表者</w:t>
            </w:r>
          </w:p>
        </w:tc>
        <w:tc>
          <w:tcPr>
            <w:tcW w:type="dxa" w:w="7500"/>
            <w:shd w:fill="EAF1F8" w:val="clear"/>
            <w:tcMar>
              <w:top w:type="dxa" w:w="60"/>
              <w:left w:type="dxa" w:w="100"/>
              <w:bottom w:type="dxa" w:w="60"/>
              <w:right w:type="dxa" w:w="100"/>
            </w:tcMar>
            <w:vAlign w:val="center"/>
          </w:tcPr>
          <w:p>
            <w:pPr>
              <w:spacing w:after="40"/>
            </w:pPr>
            <w:r>
              <w:rPr>
                <w:sz w:val="20"/>
                <w:szCs w:val="20"/>
              </w:rPr>
              <w:t xml:space="preserve">代表取締役社長　新宮 達史（しんぐう たつし）</w:t>
            </w:r>
          </w:p>
        </w:tc>
      </w:tr>
      <w:tr>
        <w:tc>
          <w:tcPr>
            <w:tcW w:type="dxa" w:w="2400"/>
            <w:shd w:fill="FFFFFF" w:val="clear"/>
            <w:tcMar>
              <w:top w:type="dxa" w:w="60"/>
              <w:left w:type="dxa" w:w="100"/>
              <w:bottom w:type="dxa" w:w="60"/>
              <w:right w:type="dxa" w:w="100"/>
            </w:tcMar>
            <w:vAlign w:val="center"/>
          </w:tcPr>
          <w:p>
            <w:pPr>
              <w:spacing w:after="40"/>
            </w:pPr>
            <w:r>
              <w:rPr>
                <w:sz w:val="20"/>
                <w:szCs w:val="20"/>
              </w:rPr>
              <w:t xml:space="preserve">創立</w:t>
            </w:r>
          </w:p>
        </w:tc>
        <w:tc>
          <w:tcPr>
            <w:tcW w:type="dxa" w:w="7500"/>
            <w:shd w:fill="FFFFFF" w:val="clear"/>
            <w:tcMar>
              <w:top w:type="dxa" w:w="60"/>
              <w:left w:type="dxa" w:w="100"/>
              <w:bottom w:type="dxa" w:w="60"/>
              <w:right w:type="dxa" w:w="100"/>
            </w:tcMar>
            <w:vAlign w:val="center"/>
          </w:tcPr>
          <w:p>
            <w:pPr>
              <w:spacing w:after="40"/>
            </w:pPr>
            <w:r>
              <w:rPr>
                <w:sz w:val="20"/>
                <w:szCs w:val="20"/>
              </w:rPr>
              <w:t xml:space="preserve">1972年（昭和47年）4月1日</w:t>
            </w:r>
          </w:p>
        </w:tc>
      </w:tr>
      <w:tr>
        <w:tc>
          <w:tcPr>
            <w:tcW w:type="dxa" w:w="2400"/>
            <w:shd w:fill="EAF1F8" w:val="clear"/>
            <w:tcMar>
              <w:top w:type="dxa" w:w="60"/>
              <w:left w:type="dxa" w:w="100"/>
              <w:bottom w:type="dxa" w:w="60"/>
              <w:right w:type="dxa" w:w="100"/>
            </w:tcMar>
            <w:vAlign w:val="center"/>
          </w:tcPr>
          <w:p>
            <w:pPr>
              <w:spacing w:after="40"/>
            </w:pPr>
            <w:r>
              <w:rPr>
                <w:sz w:val="20"/>
                <w:szCs w:val="20"/>
              </w:rPr>
              <w:t xml:space="preserve">設立</w:t>
            </w:r>
          </w:p>
        </w:tc>
        <w:tc>
          <w:tcPr>
            <w:tcW w:type="dxa" w:w="7500"/>
            <w:shd w:fill="EAF1F8" w:val="clear"/>
            <w:tcMar>
              <w:top w:type="dxa" w:w="60"/>
              <w:left w:type="dxa" w:w="100"/>
              <w:bottom w:type="dxa" w:w="60"/>
              <w:right w:type="dxa" w:w="100"/>
            </w:tcMar>
            <w:vAlign w:val="center"/>
          </w:tcPr>
          <w:p>
            <w:pPr>
              <w:spacing w:after="40"/>
            </w:pPr>
            <w:r>
              <w:rPr>
                <w:sz w:val="20"/>
                <w:szCs w:val="20"/>
              </w:rPr>
              <w:t xml:space="preserve">1979年（昭和54年）7月11日</w:t>
            </w:r>
          </w:p>
        </w:tc>
      </w:tr>
      <w:tr>
        <w:tc>
          <w:tcPr>
            <w:tcW w:type="dxa" w:w="2400"/>
            <w:shd w:fill="FFFFFF" w:val="clear"/>
            <w:tcMar>
              <w:top w:type="dxa" w:w="60"/>
              <w:left w:type="dxa" w:w="100"/>
              <w:bottom w:type="dxa" w:w="60"/>
              <w:right w:type="dxa" w:w="100"/>
            </w:tcMar>
            <w:vAlign w:val="center"/>
          </w:tcPr>
          <w:p>
            <w:pPr>
              <w:spacing w:after="40"/>
            </w:pPr>
            <w:r>
              <w:rPr>
                <w:sz w:val="20"/>
                <w:szCs w:val="20"/>
              </w:rPr>
              <w:t xml:space="preserve">資本金</w:t>
            </w:r>
          </w:p>
        </w:tc>
        <w:tc>
          <w:tcPr>
            <w:tcW w:type="dxa" w:w="7500"/>
            <w:shd w:fill="FFFFFF" w:val="clear"/>
            <w:tcMar>
              <w:top w:type="dxa" w:w="60"/>
              <w:left w:type="dxa" w:w="100"/>
              <w:bottom w:type="dxa" w:w="60"/>
              <w:right w:type="dxa" w:w="100"/>
            </w:tcMar>
            <w:vAlign w:val="center"/>
          </w:tcPr>
          <w:p>
            <w:pPr>
              <w:spacing w:after="40"/>
            </w:pPr>
            <w:r>
              <w:rPr>
                <w:sz w:val="20"/>
                <w:szCs w:val="20"/>
              </w:rPr>
              <w:t xml:space="preserve">21,764百万円</w:t>
            </w:r>
          </w:p>
        </w:tc>
      </w:tr>
      <w:tr>
        <w:tc>
          <w:tcPr>
            <w:tcW w:type="dxa" w:w="2400"/>
            <w:shd w:fill="EAF1F8" w:val="clear"/>
            <w:tcMar>
              <w:top w:type="dxa" w:w="60"/>
              <w:left w:type="dxa" w:w="100"/>
              <w:bottom w:type="dxa" w:w="60"/>
              <w:right w:type="dxa" w:w="100"/>
            </w:tcMar>
            <w:vAlign w:val="center"/>
          </w:tcPr>
          <w:p>
            <w:pPr>
              <w:spacing w:after="40"/>
            </w:pPr>
            <w:r>
              <w:rPr>
                <w:sz w:val="20"/>
                <w:szCs w:val="20"/>
              </w:rPr>
              <w:t xml:space="preserve">株主構成</w:t>
            </w:r>
          </w:p>
        </w:tc>
        <w:tc>
          <w:tcPr>
            <w:tcW w:type="dxa" w:w="7500"/>
            <w:shd w:fill="EAF1F8" w:val="clear"/>
            <w:tcMar>
              <w:top w:type="dxa" w:w="60"/>
              <w:left w:type="dxa" w:w="100"/>
              <w:bottom w:type="dxa" w:w="60"/>
              <w:right w:type="dxa" w:w="100"/>
            </w:tcMar>
            <w:vAlign w:val="center"/>
          </w:tcPr>
          <w:p>
            <w:pPr>
              <w:spacing w:after="40"/>
            </w:pPr>
            <w:r>
              <w:rPr>
                <w:sz w:val="20"/>
                <w:szCs w:val="20"/>
              </w:rPr>
              <w:t xml:space="preserve">伊藤忠商事株式会社 66.67%／デジタルバリューチェーンパートナーズ合同会社 33.28%／株式会社ベルシステム24ホールディングス 0.05%（2025年4月1日現在。非上場、伊藤忠商事の完全子会社グループ）</w:t>
            </w:r>
          </w:p>
        </w:tc>
      </w:tr>
      <w:tr>
        <w:tc>
          <w:tcPr>
            <w:tcW w:type="dxa" w:w="2400"/>
            <w:shd w:fill="FFFFFF" w:val="clear"/>
            <w:tcMar>
              <w:top w:type="dxa" w:w="60"/>
              <w:left w:type="dxa" w:w="100"/>
              <w:bottom w:type="dxa" w:w="60"/>
              <w:right w:type="dxa" w:w="100"/>
            </w:tcMar>
            <w:vAlign w:val="center"/>
          </w:tcPr>
          <w:p>
            <w:pPr>
              <w:spacing w:after="40"/>
            </w:pPr>
            <w:r>
              <w:rPr>
                <w:sz w:val="20"/>
                <w:szCs w:val="20"/>
              </w:rPr>
              <w:t xml:space="preserve">従業員数</w:t>
            </w:r>
          </w:p>
        </w:tc>
        <w:tc>
          <w:tcPr>
            <w:tcW w:type="dxa" w:w="7500"/>
            <w:shd w:fill="FFFFFF" w:val="clear"/>
            <w:tcMar>
              <w:top w:type="dxa" w:w="60"/>
              <w:left w:type="dxa" w:w="100"/>
              <w:bottom w:type="dxa" w:w="60"/>
              <w:right w:type="dxa" w:w="100"/>
            </w:tcMar>
            <w:vAlign w:val="center"/>
          </w:tcPr>
          <w:p>
            <w:pPr>
              <w:spacing w:after="40"/>
            </w:pPr>
            <w:r>
              <w:rPr>
                <w:sz w:val="20"/>
                <w:szCs w:val="20"/>
              </w:rPr>
              <w:t xml:space="preserve">単体5,983名／CTCグループ12,222名（2025年4月1日現在）</w:t>
            </w:r>
          </w:p>
        </w:tc>
      </w:tr>
      <w:tr>
        <w:tc>
          <w:tcPr>
            <w:tcW w:type="dxa" w:w="2400"/>
            <w:shd w:fill="EAF1F8" w:val="clear"/>
            <w:tcMar>
              <w:top w:type="dxa" w:w="60"/>
              <w:left w:type="dxa" w:w="100"/>
              <w:bottom w:type="dxa" w:w="60"/>
              <w:right w:type="dxa" w:w="100"/>
            </w:tcMar>
            <w:vAlign w:val="center"/>
          </w:tcPr>
          <w:p>
            <w:pPr>
              <w:spacing w:after="40"/>
            </w:pPr>
            <w:r>
              <w:rPr>
                <w:sz w:val="20"/>
                <w:szCs w:val="20"/>
              </w:rPr>
              <w:t xml:space="preserve">事業内容</w:t>
            </w:r>
          </w:p>
        </w:tc>
        <w:tc>
          <w:tcPr>
            <w:tcW w:type="dxa" w:w="7500"/>
            <w:shd w:fill="EAF1F8" w:val="clear"/>
            <w:tcMar>
              <w:top w:type="dxa" w:w="60"/>
              <w:left w:type="dxa" w:w="100"/>
              <w:bottom w:type="dxa" w:w="60"/>
              <w:right w:type="dxa" w:w="100"/>
            </w:tcMar>
            <w:vAlign w:val="center"/>
          </w:tcPr>
          <w:p>
            <w:pPr>
              <w:spacing w:after="40"/>
            </w:pPr>
            <w:r>
              <w:rPr>
                <w:sz w:val="20"/>
                <w:szCs w:val="20"/>
              </w:rPr>
              <w:t xml:space="preserve">クラウド・AI・データ分析・サイバーセキュリティ等のシステム販売・構築サービス。コンサルティングから運用・保守までのITライフサイクル全体にわたるサポート。科学・工学系ITサービスの提供</w:t>
            </w:r>
          </w:p>
        </w:tc>
      </w:tr>
      <w:tr>
        <w:tc>
          <w:tcPr>
            <w:tcW w:type="dxa" w:w="2400"/>
            <w:shd w:fill="FFFFFF" w:val="clear"/>
            <w:tcMar>
              <w:top w:type="dxa" w:w="60"/>
              <w:left w:type="dxa" w:w="100"/>
              <w:bottom w:type="dxa" w:w="60"/>
              <w:right w:type="dxa" w:w="100"/>
            </w:tcMar>
            <w:vAlign w:val="center"/>
          </w:tcPr>
          <w:p>
            <w:pPr>
              <w:spacing w:after="40"/>
            </w:pPr>
            <w:r>
              <w:rPr>
                <w:sz w:val="20"/>
                <w:szCs w:val="20"/>
              </w:rPr>
              <w:t xml:space="preserve">企業理念</w:t>
            </w:r>
          </w:p>
        </w:tc>
        <w:tc>
          <w:tcPr>
            <w:tcW w:type="dxa" w:w="7500"/>
            <w:shd w:fill="FFFFFF" w:val="clear"/>
            <w:tcMar>
              <w:top w:type="dxa" w:w="60"/>
              <w:left w:type="dxa" w:w="100"/>
              <w:bottom w:type="dxa" w:w="60"/>
              <w:right w:type="dxa" w:w="100"/>
            </w:tcMar>
            <w:vAlign w:val="center"/>
          </w:tcPr>
          <w:p>
            <w:pPr>
              <w:spacing w:after="40"/>
            </w:pPr>
            <w:r>
              <w:rPr>
                <w:sz w:val="20"/>
                <w:szCs w:val="20"/>
              </w:rPr>
              <w:t xml:space="preserve">「Challenging Tomorrow's Changes　変わっていく。挑んでいく。」</w:t>
            </w:r>
          </w:p>
        </w:tc>
      </w:tr>
      <w:tr>
        <w:tc>
          <w:tcPr>
            <w:tcW w:type="dxa" w:w="2400"/>
            <w:shd w:fill="EAF1F8" w:val="clear"/>
            <w:tcMar>
              <w:top w:type="dxa" w:w="60"/>
              <w:left w:type="dxa" w:w="100"/>
              <w:bottom w:type="dxa" w:w="60"/>
              <w:right w:type="dxa" w:w="100"/>
            </w:tcMar>
            <w:vAlign w:val="center"/>
          </w:tcPr>
          <w:p>
            <w:pPr>
              <w:spacing w:after="40"/>
            </w:pPr>
            <w:r>
              <w:rPr>
                <w:sz w:val="20"/>
                <w:szCs w:val="20"/>
              </w:rPr>
              <w:t xml:space="preserve">売上収益（2024年度）</w:t>
            </w:r>
          </w:p>
        </w:tc>
        <w:tc>
          <w:tcPr>
            <w:tcW w:type="dxa" w:w="7500"/>
            <w:shd w:fill="EAF1F8" w:val="clear"/>
            <w:tcMar>
              <w:top w:type="dxa" w:w="60"/>
              <w:left w:type="dxa" w:w="100"/>
              <w:bottom w:type="dxa" w:w="60"/>
              <w:right w:type="dxa" w:w="100"/>
            </w:tcMar>
            <w:vAlign w:val="center"/>
          </w:tcPr>
          <w:p>
            <w:pPr>
              <w:spacing w:after="40"/>
            </w:pPr>
            <w:r>
              <w:rPr>
                <w:sz w:val="20"/>
                <w:szCs w:val="20"/>
              </w:rPr>
              <w:t xml:space="preserve">7,282億円</w:t>
            </w:r>
          </w:p>
        </w:tc>
      </w:tr>
    </w:tbl>
    <w:p>
      <w:pPr>
        <w:spacing w:after="120"/>
      </w:pPr>
    </w:p>
    <w:p>
      <w:pPr>
        <w:spacing w:after="120" w:line="300"/>
      </w:pPr>
      <w:r>
        <w:rPr>
          <w:sz w:val="21"/>
          <w:szCs w:val="21"/>
        </w:rPr>
        <w:t xml:space="preserve">CTCは、お客様のパートナーとなる総合ITサービス企業として、コンサルティングから設計・構築・開発・運用保守サービスまでをトータルに支援するユーザー系システムインテグレータ（SIer）。情報通信・製造・金融・官公庁・自治体など幅広い業界に6,000社を超える顧客基盤を持ち、2023年の伊藤忠商事によるTOBを経て伊藤忠グループの中核IT企業となっている。</w:t>
      </w:r>
    </w:p>
    <w:p>
      <w:pPr>
        <w:pStyle w:val="Heading1"/>
        <w:pBdr>
          <w:bottom w:val="single" w:color="0B3B6B" w:sz="8" w:space="4"/>
        </w:pBdr>
        <w:spacing w:after="200" w:before="400"/>
      </w:pPr>
      <w:r>
        <w:rPr>
          <w:b/>
          <w:bCs/>
          <w:color w:val="0B3B6B"/>
          <w:sz w:val="30"/>
          <w:szCs w:val="30"/>
        </w:rPr>
        <w:t xml:space="preserve">2. 沿革</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tblHeader/>
        </w:trPr>
        <w:tc>
          <w:tcPr>
            <w:tcW w:type="dxa" w:w="1800"/>
            <w:shd w:fill="0B3B6B" w:val="clear"/>
            <w:tcMar>
              <w:top w:type="dxa" w:w="60"/>
              <w:left w:type="dxa" w:w="100"/>
              <w:bottom w:type="dxa" w:w="60"/>
              <w:right w:type="dxa" w:w="100"/>
            </w:tcMar>
            <w:vAlign w:val="center"/>
          </w:tcPr>
          <w:p>
            <w:r>
              <w:rPr>
                <w:b/>
                <w:bCs/>
                <w:color w:val="FFFFFF"/>
                <w:sz w:val="20"/>
                <w:szCs w:val="20"/>
              </w:rPr>
              <w:t xml:space="preserve">年</w:t>
            </w:r>
          </w:p>
        </w:tc>
        <w:tc>
          <w:tcPr>
            <w:tcW w:type="dxa" w:w="8100"/>
            <w:shd w:fill="0B3B6B" w:val="clear"/>
            <w:tcMar>
              <w:top w:type="dxa" w:w="60"/>
              <w:left w:type="dxa" w:w="100"/>
              <w:bottom w:type="dxa" w:w="60"/>
              <w:right w:type="dxa" w:w="100"/>
            </w:tcMar>
            <w:vAlign w:val="center"/>
          </w:tcPr>
          <w:p>
            <w:r>
              <w:rPr>
                <w:b/>
                <w:bCs/>
                <w:color w:val="FFFFFF"/>
                <w:sz w:val="20"/>
                <w:szCs w:val="20"/>
              </w:rPr>
              <w:t xml:space="preserve">出来事</w:t>
            </w:r>
          </w:p>
        </w:tc>
      </w:tr>
      <w:tr>
        <w:tc>
          <w:tcPr>
            <w:tcW w:type="dxa" w:w="1800"/>
            <w:shd w:fill="FFFFFF" w:val="clear"/>
            <w:tcMar>
              <w:top w:type="dxa" w:w="60"/>
              <w:left w:type="dxa" w:w="100"/>
              <w:bottom w:type="dxa" w:w="60"/>
              <w:right w:type="dxa" w:w="100"/>
            </w:tcMar>
            <w:vAlign w:val="center"/>
          </w:tcPr>
          <w:p>
            <w:pPr>
              <w:spacing w:after="40"/>
            </w:pPr>
            <w:r>
              <w:rPr>
                <w:sz w:val="20"/>
                <w:szCs w:val="20"/>
              </w:rPr>
              <w:t xml:space="preserve">1958年</w:t>
            </w:r>
          </w:p>
        </w:tc>
        <w:tc>
          <w:tcPr>
            <w:tcW w:type="dxa" w:w="8100"/>
            <w:shd w:fill="FFFFFF" w:val="clear"/>
            <w:tcMar>
              <w:top w:type="dxa" w:w="60"/>
              <w:left w:type="dxa" w:w="100"/>
              <w:bottom w:type="dxa" w:w="60"/>
              <w:right w:type="dxa" w:w="100"/>
            </w:tcMar>
            <w:vAlign w:val="center"/>
          </w:tcPr>
          <w:p>
            <w:pPr>
              <w:spacing w:after="40"/>
            </w:pPr>
            <w:r>
              <w:rPr>
                <w:sz w:val="20"/>
                <w:szCs w:val="20"/>
              </w:rPr>
              <w:t xml:space="preserve">前身の一つ「東京電子計算サービス」設立</w:t>
            </w:r>
          </w:p>
        </w:tc>
      </w:tr>
      <w:tr>
        <w:tc>
          <w:tcPr>
            <w:tcW w:type="dxa" w:w="1800"/>
            <w:shd w:fill="EAF1F8" w:val="clear"/>
            <w:tcMar>
              <w:top w:type="dxa" w:w="60"/>
              <w:left w:type="dxa" w:w="100"/>
              <w:bottom w:type="dxa" w:w="60"/>
              <w:right w:type="dxa" w:w="100"/>
            </w:tcMar>
            <w:vAlign w:val="center"/>
          </w:tcPr>
          <w:p>
            <w:pPr>
              <w:spacing w:after="40"/>
            </w:pPr>
            <w:r>
              <w:rPr>
                <w:sz w:val="20"/>
                <w:szCs w:val="20"/>
              </w:rPr>
              <w:t xml:space="preserve">1972年4月</w:t>
            </w:r>
          </w:p>
        </w:tc>
        <w:tc>
          <w:tcPr>
            <w:tcW w:type="dxa" w:w="8100"/>
            <w:shd w:fill="EAF1F8" w:val="clear"/>
            <w:tcMar>
              <w:top w:type="dxa" w:w="60"/>
              <w:left w:type="dxa" w:w="100"/>
              <w:bottom w:type="dxa" w:w="60"/>
              <w:right w:type="dxa" w:w="100"/>
            </w:tcMar>
            <w:vAlign w:val="center"/>
          </w:tcPr>
          <w:p>
            <w:pPr>
              <w:spacing w:after="40"/>
            </w:pPr>
            <w:r>
              <w:rPr>
                <w:sz w:val="20"/>
                <w:szCs w:val="20"/>
              </w:rPr>
              <w:t xml:space="preserve">伊藤忠商事の子会社として「伊藤忠データシステム株式会社」設立（CTCの創立年に相当）</w:t>
            </w:r>
          </w:p>
        </w:tc>
      </w:tr>
      <w:tr>
        <w:tc>
          <w:tcPr>
            <w:tcW w:type="dxa" w:w="1800"/>
            <w:shd w:fill="FFFFFF" w:val="clear"/>
            <w:tcMar>
              <w:top w:type="dxa" w:w="60"/>
              <w:left w:type="dxa" w:w="100"/>
              <w:bottom w:type="dxa" w:w="60"/>
              <w:right w:type="dxa" w:w="100"/>
            </w:tcMar>
            <w:vAlign w:val="center"/>
          </w:tcPr>
          <w:p>
            <w:pPr>
              <w:spacing w:after="40"/>
            </w:pPr>
            <w:r>
              <w:rPr>
                <w:sz w:val="20"/>
                <w:szCs w:val="20"/>
              </w:rPr>
              <w:t xml:space="preserve">1979年7月</w:t>
            </w:r>
          </w:p>
        </w:tc>
        <w:tc>
          <w:tcPr>
            <w:tcW w:type="dxa" w:w="8100"/>
            <w:shd w:fill="FFFFFF" w:val="clear"/>
            <w:tcMar>
              <w:top w:type="dxa" w:w="60"/>
              <w:left w:type="dxa" w:w="100"/>
              <w:bottom w:type="dxa" w:w="60"/>
              <w:right w:type="dxa" w:w="100"/>
            </w:tcMar>
            <w:vAlign w:val="center"/>
          </w:tcPr>
          <w:p>
            <w:pPr>
              <w:spacing w:after="40"/>
            </w:pPr>
            <w:r>
              <w:rPr>
                <w:sz w:val="20"/>
                <w:szCs w:val="20"/>
              </w:rPr>
              <w:t xml:space="preserve">「ハミルトン・アブネットエレクトロニクス株式会社」設立（後の伊藤忠テクノサイエンス株式会社の前身。CTCの設立年に相当）</w:t>
            </w:r>
          </w:p>
        </w:tc>
      </w:tr>
      <w:tr>
        <w:tc>
          <w:tcPr>
            <w:tcW w:type="dxa" w:w="1800"/>
            <w:shd w:fill="EAF1F8" w:val="clear"/>
            <w:tcMar>
              <w:top w:type="dxa" w:w="60"/>
              <w:left w:type="dxa" w:w="100"/>
              <w:bottom w:type="dxa" w:w="60"/>
              <w:right w:type="dxa" w:w="100"/>
            </w:tcMar>
            <w:vAlign w:val="center"/>
          </w:tcPr>
          <w:p>
            <w:pPr>
              <w:spacing w:after="40"/>
            </w:pPr>
            <w:r>
              <w:rPr>
                <w:sz w:val="20"/>
                <w:szCs w:val="20"/>
              </w:rPr>
              <w:t xml:space="preserve">1999年12月</w:t>
            </w:r>
          </w:p>
        </w:tc>
        <w:tc>
          <w:tcPr>
            <w:tcW w:type="dxa" w:w="8100"/>
            <w:shd w:fill="EAF1F8" w:val="clear"/>
            <w:tcMar>
              <w:top w:type="dxa" w:w="60"/>
              <w:left w:type="dxa" w:w="100"/>
              <w:bottom w:type="dxa" w:w="60"/>
              <w:right w:type="dxa" w:w="100"/>
            </w:tcMar>
            <w:vAlign w:val="center"/>
          </w:tcPr>
          <w:p>
            <w:pPr>
              <w:spacing w:after="40"/>
            </w:pPr>
            <w:r>
              <w:rPr>
                <w:sz w:val="20"/>
                <w:szCs w:val="20"/>
              </w:rPr>
              <w:t xml:space="preserve">東京証券取引所第一部に上場</w:t>
            </w:r>
          </w:p>
        </w:tc>
      </w:tr>
      <w:tr>
        <w:tc>
          <w:tcPr>
            <w:tcW w:type="dxa" w:w="1800"/>
            <w:shd w:fill="FFFFFF" w:val="clear"/>
            <w:tcMar>
              <w:top w:type="dxa" w:w="60"/>
              <w:left w:type="dxa" w:w="100"/>
              <w:bottom w:type="dxa" w:w="60"/>
              <w:right w:type="dxa" w:w="100"/>
            </w:tcMar>
            <w:vAlign w:val="center"/>
          </w:tcPr>
          <w:p>
            <w:pPr>
              <w:spacing w:after="40"/>
            </w:pPr>
            <w:r>
              <w:rPr>
                <w:sz w:val="20"/>
                <w:szCs w:val="20"/>
              </w:rPr>
              <w:t xml:space="preserve">2006年10月</w:t>
            </w:r>
          </w:p>
        </w:tc>
        <w:tc>
          <w:tcPr>
            <w:tcW w:type="dxa" w:w="8100"/>
            <w:shd w:fill="FFFFFF" w:val="clear"/>
            <w:tcMar>
              <w:top w:type="dxa" w:w="60"/>
              <w:left w:type="dxa" w:w="100"/>
              <w:bottom w:type="dxa" w:w="60"/>
              <w:right w:type="dxa" w:w="100"/>
            </w:tcMar>
            <w:vAlign w:val="center"/>
          </w:tcPr>
          <w:p>
            <w:pPr>
              <w:spacing w:after="40"/>
            </w:pPr>
            <w:r>
              <w:rPr>
                <w:sz w:val="20"/>
                <w:szCs w:val="20"/>
              </w:rPr>
              <w:t xml:space="preserve">伊藤忠テクノサイエンス株式会社と株式会社CRCソリューションズが合併し、商号を「伊藤忠テクノソリューションズ株式会社」に変更。CRCシステムズ、CRCファシリティーズ、ファーストコンタクト、アサヒビジネスソリューションズを連結子会社化</w:t>
            </w:r>
          </w:p>
        </w:tc>
      </w:tr>
      <w:tr>
        <w:tc>
          <w:tcPr>
            <w:tcW w:type="dxa" w:w="1800"/>
            <w:shd w:fill="EAF1F8" w:val="clear"/>
            <w:tcMar>
              <w:top w:type="dxa" w:w="60"/>
              <w:left w:type="dxa" w:w="100"/>
              <w:bottom w:type="dxa" w:w="60"/>
              <w:right w:type="dxa" w:w="100"/>
            </w:tcMar>
            <w:vAlign w:val="center"/>
          </w:tcPr>
          <w:p>
            <w:pPr>
              <w:spacing w:after="40"/>
            </w:pPr>
            <w:r>
              <w:rPr>
                <w:sz w:val="20"/>
                <w:szCs w:val="20"/>
              </w:rPr>
              <w:t xml:space="preserve">2017年4月</w:t>
            </w:r>
          </w:p>
        </w:tc>
        <w:tc>
          <w:tcPr>
            <w:tcW w:type="dxa" w:w="8100"/>
            <w:shd w:fill="EAF1F8" w:val="clear"/>
            <w:tcMar>
              <w:top w:type="dxa" w:w="60"/>
              <w:left w:type="dxa" w:w="100"/>
              <w:bottom w:type="dxa" w:w="60"/>
              <w:right w:type="dxa" w:w="100"/>
            </w:tcMar>
            <w:vAlign w:val="center"/>
          </w:tcPr>
          <w:p>
            <w:pPr>
              <w:spacing w:after="40"/>
            </w:pPr>
            <w:r>
              <w:rPr>
                <w:sz w:val="20"/>
                <w:szCs w:val="20"/>
              </w:rPr>
              <w:t xml:space="preserve">CTCライフサイエンス株式会社を吸収合併</w:t>
            </w:r>
          </w:p>
        </w:tc>
      </w:tr>
      <w:tr>
        <w:tc>
          <w:tcPr>
            <w:tcW w:type="dxa" w:w="1800"/>
            <w:shd w:fill="FFFFFF" w:val="clear"/>
            <w:tcMar>
              <w:top w:type="dxa" w:w="60"/>
              <w:left w:type="dxa" w:w="100"/>
              <w:bottom w:type="dxa" w:w="60"/>
              <w:right w:type="dxa" w:w="100"/>
            </w:tcMar>
            <w:vAlign w:val="center"/>
          </w:tcPr>
          <w:p>
            <w:pPr>
              <w:spacing w:after="40"/>
            </w:pPr>
            <w:r>
              <w:rPr>
                <w:sz w:val="20"/>
                <w:szCs w:val="20"/>
              </w:rPr>
              <w:t xml:space="preserve">2023年8月</w:t>
            </w:r>
          </w:p>
        </w:tc>
        <w:tc>
          <w:tcPr>
            <w:tcW w:type="dxa" w:w="8100"/>
            <w:shd w:fill="FFFFFF" w:val="clear"/>
            <w:tcMar>
              <w:top w:type="dxa" w:w="60"/>
              <w:left w:type="dxa" w:w="100"/>
              <w:bottom w:type="dxa" w:w="60"/>
              <w:right w:type="dxa" w:w="100"/>
            </w:tcMar>
            <w:vAlign w:val="center"/>
          </w:tcPr>
          <w:p>
            <w:pPr>
              <w:spacing w:after="40"/>
            </w:pPr>
            <w:r>
              <w:rPr>
                <w:sz w:val="20"/>
                <w:szCs w:val="20"/>
              </w:rPr>
              <w:t xml:space="preserve">伊藤忠商事がCTCに対しTOB（株式公開買付け）の実施を発表。非資源分野強化のため最大3,876億円を投じて完全子会社化する方針を表明</w:t>
            </w:r>
          </w:p>
        </w:tc>
      </w:tr>
      <w:tr>
        <w:tc>
          <w:tcPr>
            <w:tcW w:type="dxa" w:w="1800"/>
            <w:shd w:fill="EAF1F8" w:val="clear"/>
            <w:tcMar>
              <w:top w:type="dxa" w:w="60"/>
              <w:left w:type="dxa" w:w="100"/>
              <w:bottom w:type="dxa" w:w="60"/>
              <w:right w:type="dxa" w:w="100"/>
            </w:tcMar>
            <w:vAlign w:val="center"/>
          </w:tcPr>
          <w:p>
            <w:pPr>
              <w:spacing w:after="40"/>
            </w:pPr>
            <w:r>
              <w:rPr>
                <w:sz w:val="20"/>
                <w:szCs w:val="20"/>
              </w:rPr>
              <w:t xml:space="preserve">2023年9月</w:t>
            </w:r>
          </w:p>
        </w:tc>
        <w:tc>
          <w:tcPr>
            <w:tcW w:type="dxa" w:w="8100"/>
            <w:shd w:fill="EAF1F8" w:val="clear"/>
            <w:tcMar>
              <w:top w:type="dxa" w:w="60"/>
              <w:left w:type="dxa" w:w="100"/>
              <w:bottom w:type="dxa" w:w="60"/>
              <w:right w:type="dxa" w:w="100"/>
            </w:tcMar>
            <w:vAlign w:val="center"/>
          </w:tcPr>
          <w:p>
            <w:pPr>
              <w:spacing w:after="40"/>
            </w:pPr>
            <w:r>
              <w:rPr>
                <w:sz w:val="20"/>
                <w:szCs w:val="20"/>
              </w:rPr>
              <w:t xml:space="preserve">TOBが成立（買付総額3,876億円）</w:t>
            </w:r>
          </w:p>
        </w:tc>
      </w:tr>
      <w:tr>
        <w:tc>
          <w:tcPr>
            <w:tcW w:type="dxa" w:w="1800"/>
            <w:shd w:fill="FFFFFF" w:val="clear"/>
            <w:tcMar>
              <w:top w:type="dxa" w:w="60"/>
              <w:left w:type="dxa" w:w="100"/>
              <w:bottom w:type="dxa" w:w="60"/>
              <w:right w:type="dxa" w:w="100"/>
            </w:tcMar>
            <w:vAlign w:val="center"/>
          </w:tcPr>
          <w:p>
            <w:pPr>
              <w:spacing w:after="40"/>
            </w:pPr>
            <w:r>
              <w:rPr>
                <w:sz w:val="20"/>
                <w:szCs w:val="20"/>
              </w:rPr>
              <w:t xml:space="preserve">2023年12月</w:t>
            </w:r>
          </w:p>
        </w:tc>
        <w:tc>
          <w:tcPr>
            <w:tcW w:type="dxa" w:w="8100"/>
            <w:shd w:fill="FFFFFF" w:val="clear"/>
            <w:tcMar>
              <w:top w:type="dxa" w:w="60"/>
              <w:left w:type="dxa" w:w="100"/>
              <w:bottom w:type="dxa" w:w="60"/>
              <w:right w:type="dxa" w:w="100"/>
            </w:tcMar>
            <w:vAlign w:val="center"/>
          </w:tcPr>
          <w:p>
            <w:pPr>
              <w:spacing w:after="40"/>
            </w:pPr>
            <w:r>
              <w:rPr>
                <w:sz w:val="20"/>
                <w:szCs w:val="20"/>
              </w:rPr>
              <w:t xml:space="preserve">東京証券取引所プライム市場上場廃止。株式併合を経て株主が伊藤忠商事とデジタルバリューチェーンパートナーズのみとなり、非上場化・伊藤忠グループへの完全統合が完了</w:t>
            </w:r>
          </w:p>
        </w:tc>
      </w:tr>
      <w:tr>
        <w:tc>
          <w:tcPr>
            <w:tcW w:type="dxa" w:w="1800"/>
            <w:shd w:fill="EAF1F8" w:val="clear"/>
            <w:tcMar>
              <w:top w:type="dxa" w:w="60"/>
              <w:left w:type="dxa" w:w="100"/>
              <w:bottom w:type="dxa" w:w="60"/>
              <w:right w:type="dxa" w:w="100"/>
            </w:tcMar>
            <w:vAlign w:val="center"/>
          </w:tcPr>
          <w:p>
            <w:pPr>
              <w:spacing w:after="40"/>
            </w:pPr>
            <w:r>
              <w:rPr>
                <w:sz w:val="20"/>
                <w:szCs w:val="20"/>
              </w:rPr>
              <w:t xml:space="preserve">2024年4月</w:t>
            </w:r>
          </w:p>
        </w:tc>
        <w:tc>
          <w:tcPr>
            <w:tcW w:type="dxa" w:w="8100"/>
            <w:shd w:fill="EAF1F8" w:val="clear"/>
            <w:tcMar>
              <w:top w:type="dxa" w:w="60"/>
              <w:left w:type="dxa" w:w="100"/>
              <w:bottom w:type="dxa" w:w="60"/>
              <w:right w:type="dxa" w:w="100"/>
            </w:tcMar>
            <w:vAlign w:val="center"/>
          </w:tcPr>
          <w:p>
            <w:pPr>
              <w:spacing w:after="40"/>
            </w:pPr>
            <w:r>
              <w:rPr>
                <w:sz w:val="20"/>
                <w:szCs w:val="20"/>
              </w:rPr>
              <w:t xml:space="preserve">新宮 達史氏が代表取締役社長に就任</w:t>
            </w:r>
          </w:p>
        </w:tc>
      </w:tr>
      <w:tr>
        <w:tc>
          <w:tcPr>
            <w:tcW w:type="dxa" w:w="1800"/>
            <w:shd w:fill="FFFFFF" w:val="clear"/>
            <w:tcMar>
              <w:top w:type="dxa" w:w="60"/>
              <w:left w:type="dxa" w:w="100"/>
              <w:bottom w:type="dxa" w:w="60"/>
              <w:right w:type="dxa" w:w="100"/>
            </w:tcMar>
            <w:vAlign w:val="center"/>
          </w:tcPr>
          <w:p>
            <w:pPr>
              <w:spacing w:after="40"/>
            </w:pPr>
            <w:r>
              <w:rPr>
                <w:sz w:val="20"/>
                <w:szCs w:val="20"/>
              </w:rPr>
              <w:t xml:space="preserve">2025年8月</w:t>
            </w:r>
          </w:p>
        </w:tc>
        <w:tc>
          <w:tcPr>
            <w:tcW w:type="dxa" w:w="8100"/>
            <w:shd w:fill="FFFFFF" w:val="clear"/>
            <w:tcMar>
              <w:top w:type="dxa" w:w="60"/>
              <w:left w:type="dxa" w:w="100"/>
              <w:bottom w:type="dxa" w:w="60"/>
              <w:right w:type="dxa" w:w="100"/>
            </w:tcMar>
            <w:vAlign w:val="center"/>
          </w:tcPr>
          <w:p>
            <w:pPr>
              <w:spacing w:after="40"/>
            </w:pPr>
            <w:r>
              <w:rPr>
                <w:sz w:val="20"/>
                <w:szCs w:val="20"/>
              </w:rPr>
              <w:t xml:space="preserve">液冷ソリューション「cooliquid」提供開始、サイバーセキュリティ・リサーチ・センター開設など、生成AI・データセンター関連の新サービスを相次いで展開</w:t>
            </w:r>
          </w:p>
        </w:tc>
      </w:tr>
    </w:tbl>
    <w:p>
      <w:pPr>
        <w:pStyle w:val="Heading1"/>
        <w:pBdr>
          <w:bottom w:val="single" w:color="0B3B6B" w:sz="8" w:space="4"/>
        </w:pBdr>
        <w:spacing w:after="200" w:before="400"/>
      </w:pPr>
      <w:r>
        <w:rPr>
          <w:b/>
          <w:bCs/>
          <w:color w:val="0B3B6B"/>
          <w:sz w:val="30"/>
          <w:szCs w:val="30"/>
        </w:rPr>
        <w:t xml:space="preserve">3. 企業理念・CEOメッセージ</w:t>
      </w:r>
    </w:p>
    <w:p>
      <w:pPr>
        <w:pStyle w:val="Heading2"/>
        <w:spacing w:after="120" w:before="300"/>
      </w:pPr>
      <w:r>
        <w:rPr>
          <w:b/>
          <w:bCs/>
          <w:color w:val="0B3B6B"/>
          <w:sz w:val="24"/>
          <w:szCs w:val="24"/>
        </w:rPr>
        <w:t xml:space="preserve">企業理念：Challenging Tomorrow's Changes　変わっていく。挑んでいく。</w:t>
      </w:r>
    </w:p>
    <w:p>
      <w:pPr>
        <w:spacing w:after="120" w:line="300"/>
      </w:pPr>
      <w:r>
        <w:rPr>
          <w:sz w:val="21"/>
          <w:szCs w:val="21"/>
        </w:rPr>
        <w:t xml:space="preserve">「私たちは、世界の変化とともにある。技を磨き、どんな困難にも挑戦していく。地球と社会とすべての人々の良い未来に、テクノロジーで貢献するために。」という理念を掲げる。変化や失敗を恐れず、一歩前へ踏み出せる人、前例よりも挑戦を選ぶ人を求める人材像として明示している。</w:t>
      </w:r>
    </w:p>
    <w:p>
      <w:pPr>
        <w:pStyle w:val="Heading2"/>
        <w:spacing w:after="120" w:before="300"/>
      </w:pPr>
      <w:r>
        <w:rPr>
          <w:b/>
          <w:bCs/>
          <w:color w:val="0B3B6B"/>
          <w:sz w:val="24"/>
          <w:szCs w:val="24"/>
        </w:rPr>
        <w:t xml:space="preserve">CEOメッセージ要旨（代表取締役社長　新宮 達史氏）</w:t>
      </w:r>
    </w:p>
    <w:p>
      <w:pPr>
        <w:spacing w:after="120" w:line="300"/>
      </w:pPr>
      <w:r>
        <w:rPr>
          <w:sz w:val="21"/>
          <w:szCs w:val="21"/>
        </w:rPr>
        <w:t xml:space="preserve">タイトル：「ITで『世界をGOODに』　より良い未来へ挑戦を加速しSIer No.1グループへ」（Corporate Book Vol.18より）</w:t>
      </w:r>
    </w:p>
    <w:p>
      <w:pPr>
        <w:pStyle w:val="ListParagraph"/>
        <w:numPr>
          <w:ilvl w:val="0"/>
          <w:numId w:val="2"/>
        </w:numPr>
        <w:spacing w:after="80" w:line="280"/>
      </w:pPr>
      <w:r>
        <w:rPr>
          <w:sz w:val="21"/>
          <w:szCs w:val="21"/>
        </w:rPr>
        <w:t xml:space="preserve">半世紀を超えて築き上げてきた強み：放送・通信、電力・ガス等のインフラ事業者から、物流・交通機関、各種製造業、金融、医療、エンターテインメント、官公庁まで6,000社超の多様な企業のデジタル化を支援。世界屈指のIT企業群を含む300社以上のグローバルパートナーシップを構築</w:t>
      </w:r>
    </w:p>
    <w:p>
      <w:pPr>
        <w:pStyle w:val="ListParagraph"/>
        <w:numPr>
          <w:ilvl w:val="0"/>
          <w:numId w:val="2"/>
        </w:numPr>
        <w:spacing w:after="80" w:line="280"/>
      </w:pPr>
      <w:r>
        <w:rPr>
          <w:sz w:val="21"/>
          <w:szCs w:val="21"/>
        </w:rPr>
        <w:t xml:space="preserve">目指す姿は「SIer No.1グループ」：これまではインフラ構築やシステム保守運用の領域で高い評価を得てきたが、これからのSIerには企業の事業そのものに踏み込み、未来の姿を共に描く力（提案力）が必要と強調</w:t>
      </w:r>
    </w:p>
    <w:p>
      <w:pPr>
        <w:pStyle w:val="ListParagraph"/>
        <w:numPr>
          <w:ilvl w:val="0"/>
          <w:numId w:val="2"/>
        </w:numPr>
        <w:spacing w:after="80" w:line="280"/>
      </w:pPr>
      <w:r>
        <w:rPr>
          <w:sz w:val="21"/>
          <w:szCs w:val="21"/>
        </w:rPr>
        <w:t xml:space="preserve">求める人材：変化の激しい時代において「守り」に入らず、前例よりも挑戦を選び、思考を巡らせて新しい答えや価値を生み出す「主体性」と「創造性」を持つ人材</w:t>
      </w:r>
    </w:p>
    <w:p>
      <w:pPr>
        <w:pStyle w:val="ListParagraph"/>
        <w:numPr>
          <w:ilvl w:val="0"/>
          <w:numId w:val="2"/>
        </w:numPr>
        <w:spacing w:after="80" w:line="280"/>
      </w:pPr>
      <w:r>
        <w:rPr>
          <w:sz w:val="21"/>
          <w:szCs w:val="21"/>
        </w:rPr>
        <w:t xml:space="preserve">「ONE TEAM」文化：CTCグループには1万2,000人を超える社員が在籍し、技術・営業・コンサルティング・運用・企画など多様な専門性を持つ人材が、職域や上下を越えて交流・協働する組織文化を重視</w:t>
      </w:r>
    </w:p>
    <w:p>
      <w:pPr>
        <w:pStyle w:val="ListParagraph"/>
        <w:numPr>
          <w:ilvl w:val="0"/>
          <w:numId w:val="2"/>
        </w:numPr>
        <w:spacing w:after="80" w:line="280"/>
      </w:pPr>
      <w:r>
        <w:rPr>
          <w:sz w:val="21"/>
          <w:szCs w:val="21"/>
        </w:rPr>
        <w:t xml:space="preserve">伊藤忠グループとの一体化：TOBによる伊藤忠グループとの一体化により、AIや量子コンピューティング等の成長領域への投資機会、伊藤忠デジタルバリューチェーンの中核企業としてのグループ内連携・大型プロジェクトへの参画機会が拡大</w:t>
      </w:r>
    </w:p>
    <w:p>
      <w:pPr>
        <w:pStyle w:val="Heading1"/>
        <w:pBdr>
          <w:bottom w:val="single" w:color="0B3B6B" w:sz="8" w:space="4"/>
        </w:pBdr>
        <w:spacing w:after="200" w:before="400"/>
      </w:pPr>
      <w:r>
        <w:rPr>
          <w:b/>
          <w:bCs/>
          <w:color w:val="0B3B6B"/>
          <w:sz w:val="30"/>
          <w:szCs w:val="30"/>
        </w:rPr>
        <w:t xml:space="preserve">4. 事業内容・ビジネスモデル</w:t>
      </w:r>
    </w:p>
    <w:p>
      <w:pPr>
        <w:pStyle w:val="Heading2"/>
        <w:spacing w:after="120" w:before="300"/>
      </w:pPr>
      <w:r>
        <w:rPr>
          <w:b/>
          <w:bCs/>
          <w:color w:val="0B3B6B"/>
          <w:sz w:val="24"/>
          <w:szCs w:val="24"/>
        </w:rPr>
        <w:t xml:space="preserve">ビジネスモデル：「つなぎ組み合わせる力」</w:t>
      </w:r>
    </w:p>
    <w:p>
      <w:pPr>
        <w:spacing w:after="120" w:line="300"/>
      </w:pPr>
      <w:r>
        <w:rPr>
          <w:sz w:val="21"/>
          <w:szCs w:val="21"/>
        </w:rPr>
        <w:t xml:space="preserve">CTCグループは、お客様の課題やニーズに応えるだけでなく、その先を見据えた提案を通じて新たな価値を提供している。国内外のパートナーと連携し、最新技術の活用に取り組みながら、多様な技術に対応できるエンジニアの育成にも注力。強みは「つなぎ組み合わせる力」とし、パートナーとの協働（300社を超えるグローバルパートナー）と、お客様との共創（6,000社を超える幅広いお客様）の両輪でビジネスを展開している。</w:t>
      </w:r>
    </w:p>
    <w:p>
      <w:pPr>
        <w:pStyle w:val="Heading2"/>
        <w:spacing w:after="120" w:before="300"/>
      </w:pPr>
      <w:r>
        <w:rPr>
          <w:b/>
          <w:bCs/>
          <w:color w:val="0B3B6B"/>
          <w:sz w:val="24"/>
          <w:szCs w:val="24"/>
        </w:rPr>
        <w:t xml:space="preserve">CTCグループの技術レイヤー</w:t>
      </w:r>
    </w:p>
    <w:p>
      <w:pPr>
        <w:spacing w:after="120" w:line="300"/>
      </w:pPr>
      <w:r>
        <w:rPr>
          <w:sz w:val="21"/>
          <w:szCs w:val="21"/>
        </w:rPr>
        <w:t xml:space="preserve">データセンターやサーバ、ストレージから、アプリケーション開発、運用・保守まで、幅広い技術レイヤーに対応。各レイヤーでコンサルティング・検証・構築・開発・運用など、お客様のニーズに合わせたサービスを提供する。加えて「AI」「データ＆アナリティクス」「クラウドネイティブ」「セキュリティ」などの先端技術を、強みである「つなぎ組み合わせる力」で最適なソリューションとして提供する。</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200"/>
        <w:gridCol w:w="6700"/>
      </w:tblGrid>
      <w:tr>
        <w:trPr>
          <w:tblHeader/>
        </w:trPr>
        <w:tc>
          <w:tcPr>
            <w:tcW w:type="dxa" w:w="3200"/>
            <w:shd w:fill="0B3B6B" w:val="clear"/>
            <w:tcMar>
              <w:top w:type="dxa" w:w="60"/>
              <w:left w:type="dxa" w:w="100"/>
              <w:bottom w:type="dxa" w:w="60"/>
              <w:right w:type="dxa" w:w="100"/>
            </w:tcMar>
            <w:vAlign w:val="center"/>
          </w:tcPr>
          <w:p>
            <w:r>
              <w:rPr>
                <w:b/>
                <w:bCs/>
                <w:color w:val="FFFFFF"/>
                <w:sz w:val="20"/>
                <w:szCs w:val="20"/>
              </w:rPr>
              <w:t xml:space="preserve">技術レイヤー（上位〜下位）</w:t>
            </w:r>
          </w:p>
        </w:tc>
        <w:tc>
          <w:tcPr>
            <w:tcW w:type="dxa" w:w="6700"/>
            <w:shd w:fill="0B3B6B" w:val="clear"/>
            <w:tcMar>
              <w:top w:type="dxa" w:w="60"/>
              <w:left w:type="dxa" w:w="100"/>
              <w:bottom w:type="dxa" w:w="60"/>
              <w:right w:type="dxa" w:w="100"/>
            </w:tcMar>
            <w:vAlign w:val="center"/>
          </w:tcPr>
          <w:p>
            <w:r>
              <w:rPr>
                <w:b/>
                <w:bCs/>
                <w:color w:val="FFFFFF"/>
                <w:sz w:val="20"/>
                <w:szCs w:val="20"/>
              </w:rPr>
              <w:t xml:space="preserve">内容</w:t>
            </w:r>
          </w:p>
        </w:tc>
      </w:tr>
      <w:tr>
        <w:tc>
          <w:tcPr>
            <w:tcW w:type="dxa" w:w="3200"/>
            <w:shd w:fill="FFFFFF" w:val="clear"/>
            <w:tcMar>
              <w:top w:type="dxa" w:w="60"/>
              <w:left w:type="dxa" w:w="100"/>
              <w:bottom w:type="dxa" w:w="60"/>
              <w:right w:type="dxa" w:w="100"/>
            </w:tcMar>
            <w:vAlign w:val="center"/>
          </w:tcPr>
          <w:p>
            <w:pPr>
              <w:spacing w:after="40"/>
            </w:pPr>
            <w:r>
              <w:rPr>
                <w:sz w:val="20"/>
                <w:szCs w:val="20"/>
              </w:rPr>
              <w:t xml:space="preserve">アプリケーション開発</w:t>
            </w:r>
          </w:p>
        </w:tc>
        <w:tc>
          <w:tcPr>
            <w:tcW w:type="dxa" w:w="6700"/>
            <w:shd w:fill="FFFFFF" w:val="clear"/>
            <w:tcMar>
              <w:top w:type="dxa" w:w="60"/>
              <w:left w:type="dxa" w:w="100"/>
              <w:bottom w:type="dxa" w:w="60"/>
              <w:right w:type="dxa" w:w="100"/>
            </w:tcMar>
            <w:vAlign w:val="center"/>
          </w:tcPr>
          <w:p>
            <w:pPr>
              <w:spacing w:after="40"/>
            </w:pPr>
            <w:r>
              <w:rPr>
                <w:sz w:val="20"/>
                <w:szCs w:val="20"/>
              </w:rPr>
              <w:t xml:space="preserve">業界ごとに特化した知識と経験を活用した開発</w:t>
            </w:r>
          </w:p>
        </w:tc>
      </w:tr>
      <w:tr>
        <w:tc>
          <w:tcPr>
            <w:tcW w:type="dxa" w:w="3200"/>
            <w:shd w:fill="EAF1F8" w:val="clear"/>
            <w:tcMar>
              <w:top w:type="dxa" w:w="60"/>
              <w:left w:type="dxa" w:w="100"/>
              <w:bottom w:type="dxa" w:w="60"/>
              <w:right w:type="dxa" w:w="100"/>
            </w:tcMar>
            <w:vAlign w:val="center"/>
          </w:tcPr>
          <w:p>
            <w:pPr>
              <w:spacing w:after="40"/>
            </w:pPr>
            <w:r>
              <w:rPr>
                <w:sz w:val="20"/>
                <w:szCs w:val="20"/>
              </w:rPr>
              <w:t xml:space="preserve">アプリケーションフレームワーク</w:t>
            </w:r>
          </w:p>
        </w:tc>
        <w:tc>
          <w:tcPr>
            <w:tcW w:type="dxa" w:w="6700"/>
            <w:shd w:fill="EAF1F8" w:val="clear"/>
            <w:tcMar>
              <w:top w:type="dxa" w:w="60"/>
              <w:left w:type="dxa" w:w="100"/>
              <w:bottom w:type="dxa" w:w="60"/>
              <w:right w:type="dxa" w:w="100"/>
            </w:tcMar>
            <w:vAlign w:val="center"/>
          </w:tcPr>
          <w:p>
            <w:pPr>
              <w:spacing w:after="40"/>
            </w:pPr>
            <w:r>
              <w:rPr>
                <w:sz w:val="20"/>
                <w:szCs w:val="20"/>
              </w:rPr>
              <w:t xml:space="preserve">柔軟なアプリケーション開発ができるフレームワーク</w:t>
            </w:r>
          </w:p>
        </w:tc>
      </w:tr>
      <w:tr>
        <w:tc>
          <w:tcPr>
            <w:tcW w:type="dxa" w:w="3200"/>
            <w:shd w:fill="FFFFFF" w:val="clear"/>
            <w:tcMar>
              <w:top w:type="dxa" w:w="60"/>
              <w:left w:type="dxa" w:w="100"/>
              <w:bottom w:type="dxa" w:w="60"/>
              <w:right w:type="dxa" w:w="100"/>
            </w:tcMar>
            <w:vAlign w:val="center"/>
          </w:tcPr>
          <w:p>
            <w:pPr>
              <w:spacing w:after="40"/>
            </w:pPr>
            <w:r>
              <w:rPr>
                <w:sz w:val="20"/>
                <w:szCs w:val="20"/>
              </w:rPr>
              <w:t xml:space="preserve">クラウドインテグレーション</w:t>
            </w:r>
          </w:p>
        </w:tc>
        <w:tc>
          <w:tcPr>
            <w:tcW w:type="dxa" w:w="6700"/>
            <w:shd w:fill="FFFFFF" w:val="clear"/>
            <w:tcMar>
              <w:top w:type="dxa" w:w="60"/>
              <w:left w:type="dxa" w:w="100"/>
              <w:bottom w:type="dxa" w:w="60"/>
              <w:right w:type="dxa" w:w="100"/>
            </w:tcMar>
            <w:vAlign w:val="center"/>
          </w:tcPr>
          <w:p>
            <w:pPr>
              <w:spacing w:after="40"/>
            </w:pPr>
            <w:r>
              <w:rPr>
                <w:sz w:val="20"/>
                <w:szCs w:val="20"/>
              </w:rPr>
              <w:t xml:space="preserve">ハイパースケーラーと自社クラウド／業務特化型SaaSを最適にインテグレーション</w:t>
            </w:r>
          </w:p>
        </w:tc>
      </w:tr>
      <w:tr>
        <w:tc>
          <w:tcPr>
            <w:tcW w:type="dxa" w:w="3200"/>
            <w:shd w:fill="EAF1F8" w:val="clear"/>
            <w:tcMar>
              <w:top w:type="dxa" w:w="60"/>
              <w:left w:type="dxa" w:w="100"/>
              <w:bottom w:type="dxa" w:w="60"/>
              <w:right w:type="dxa" w:w="100"/>
            </w:tcMar>
            <w:vAlign w:val="center"/>
          </w:tcPr>
          <w:p>
            <w:pPr>
              <w:spacing w:after="40"/>
            </w:pPr>
            <w:r>
              <w:rPr>
                <w:sz w:val="20"/>
                <w:szCs w:val="20"/>
              </w:rPr>
              <w:t xml:space="preserve">クラウドサービス</w:t>
            </w:r>
          </w:p>
        </w:tc>
        <w:tc>
          <w:tcPr>
            <w:tcW w:type="dxa" w:w="6700"/>
            <w:shd w:fill="EAF1F8" w:val="clear"/>
            <w:tcMar>
              <w:top w:type="dxa" w:w="60"/>
              <w:left w:type="dxa" w:w="100"/>
              <w:bottom w:type="dxa" w:w="60"/>
              <w:right w:type="dxa" w:w="100"/>
            </w:tcMar>
            <w:vAlign w:val="center"/>
          </w:tcPr>
          <w:p>
            <w:pPr>
              <w:spacing w:after="40"/>
            </w:pPr>
            <w:r>
              <w:rPr>
                <w:sz w:val="20"/>
                <w:szCs w:val="20"/>
              </w:rPr>
              <w:t xml:space="preserve">高品質できめ細かな自社クラウドサービス</w:t>
            </w:r>
          </w:p>
        </w:tc>
      </w:tr>
      <w:tr>
        <w:tc>
          <w:tcPr>
            <w:tcW w:type="dxa" w:w="3200"/>
            <w:shd w:fill="FFFFFF" w:val="clear"/>
            <w:tcMar>
              <w:top w:type="dxa" w:w="60"/>
              <w:left w:type="dxa" w:w="100"/>
              <w:bottom w:type="dxa" w:w="60"/>
              <w:right w:type="dxa" w:w="100"/>
            </w:tcMar>
            <w:vAlign w:val="center"/>
          </w:tcPr>
          <w:p>
            <w:pPr>
              <w:spacing w:after="40"/>
            </w:pPr>
            <w:r>
              <w:rPr>
                <w:sz w:val="20"/>
                <w:szCs w:val="20"/>
              </w:rPr>
              <w:t xml:space="preserve">OS／ミドルウェア・セキュリティ</w:t>
            </w:r>
          </w:p>
        </w:tc>
        <w:tc>
          <w:tcPr>
            <w:tcW w:type="dxa" w:w="6700"/>
            <w:shd w:fill="FFFFFF" w:val="clear"/>
            <w:tcMar>
              <w:top w:type="dxa" w:w="60"/>
              <w:left w:type="dxa" w:w="100"/>
              <w:bottom w:type="dxa" w:w="60"/>
              <w:right w:type="dxa" w:w="100"/>
            </w:tcMar>
            <w:vAlign w:val="center"/>
          </w:tcPr>
          <w:p>
            <w:pPr>
              <w:spacing w:after="40"/>
            </w:pPr>
            <w:r>
              <w:rPr>
                <w:sz w:val="20"/>
                <w:szCs w:val="20"/>
              </w:rPr>
              <w:t xml:space="preserve">アプリケーションを制御し稼働環境を保証するソフトウェア、セキュリティ</w:t>
            </w:r>
          </w:p>
        </w:tc>
      </w:tr>
      <w:tr>
        <w:tc>
          <w:tcPr>
            <w:tcW w:type="dxa" w:w="3200"/>
            <w:shd w:fill="EAF1F8" w:val="clear"/>
            <w:tcMar>
              <w:top w:type="dxa" w:w="60"/>
              <w:left w:type="dxa" w:w="100"/>
              <w:bottom w:type="dxa" w:w="60"/>
              <w:right w:type="dxa" w:w="100"/>
            </w:tcMar>
            <w:vAlign w:val="center"/>
          </w:tcPr>
          <w:p>
            <w:pPr>
              <w:spacing w:after="40"/>
            </w:pPr>
            <w:r>
              <w:rPr>
                <w:sz w:val="20"/>
                <w:szCs w:val="20"/>
              </w:rPr>
              <w:t xml:space="preserve">ネットワーク</w:t>
            </w:r>
          </w:p>
        </w:tc>
        <w:tc>
          <w:tcPr>
            <w:tcW w:type="dxa" w:w="6700"/>
            <w:shd w:fill="EAF1F8" w:val="clear"/>
            <w:tcMar>
              <w:top w:type="dxa" w:w="60"/>
              <w:left w:type="dxa" w:w="100"/>
              <w:bottom w:type="dxa" w:w="60"/>
              <w:right w:type="dxa" w:w="100"/>
            </w:tcMar>
            <w:vAlign w:val="center"/>
          </w:tcPr>
          <w:p>
            <w:pPr>
              <w:spacing w:after="40"/>
            </w:pPr>
            <w:r>
              <w:rPr>
                <w:sz w:val="20"/>
                <w:szCs w:val="20"/>
              </w:rPr>
              <w:t xml:space="preserve">キャリアグレードのネットワークからデータセンター、エッジまで</w:t>
            </w:r>
          </w:p>
        </w:tc>
      </w:tr>
      <w:tr>
        <w:tc>
          <w:tcPr>
            <w:tcW w:type="dxa" w:w="3200"/>
            <w:shd w:fill="FFFFFF" w:val="clear"/>
            <w:tcMar>
              <w:top w:type="dxa" w:w="60"/>
              <w:left w:type="dxa" w:w="100"/>
              <w:bottom w:type="dxa" w:w="60"/>
              <w:right w:type="dxa" w:w="100"/>
            </w:tcMar>
            <w:vAlign w:val="center"/>
          </w:tcPr>
          <w:p>
            <w:pPr>
              <w:spacing w:after="40"/>
            </w:pPr>
            <w:r>
              <w:rPr>
                <w:sz w:val="20"/>
                <w:szCs w:val="20"/>
              </w:rPr>
              <w:t xml:space="preserve">サーバ・ストレージ</w:t>
            </w:r>
          </w:p>
        </w:tc>
        <w:tc>
          <w:tcPr>
            <w:tcW w:type="dxa" w:w="6700"/>
            <w:shd w:fill="FFFFFF" w:val="clear"/>
            <w:tcMar>
              <w:top w:type="dxa" w:w="60"/>
              <w:left w:type="dxa" w:w="100"/>
              <w:bottom w:type="dxa" w:w="60"/>
              <w:right w:type="dxa" w:w="100"/>
            </w:tcMar>
            <w:vAlign w:val="center"/>
          </w:tcPr>
          <w:p>
            <w:pPr>
              <w:spacing w:after="40"/>
            </w:pPr>
            <w:r>
              <w:rPr>
                <w:sz w:val="20"/>
                <w:szCs w:val="20"/>
              </w:rPr>
              <w:t xml:space="preserve">データセンター事業者向けのサーバ、ストレージからエンタープライズまで</w:t>
            </w:r>
          </w:p>
        </w:tc>
      </w:tr>
      <w:tr>
        <w:tc>
          <w:tcPr>
            <w:tcW w:type="dxa" w:w="3200"/>
            <w:shd w:fill="EAF1F8" w:val="clear"/>
            <w:tcMar>
              <w:top w:type="dxa" w:w="60"/>
              <w:left w:type="dxa" w:w="100"/>
              <w:bottom w:type="dxa" w:w="60"/>
              <w:right w:type="dxa" w:w="100"/>
            </w:tcMar>
            <w:vAlign w:val="center"/>
          </w:tcPr>
          <w:p>
            <w:pPr>
              <w:spacing w:after="40"/>
            </w:pPr>
            <w:r>
              <w:rPr>
                <w:sz w:val="20"/>
                <w:szCs w:val="20"/>
              </w:rPr>
              <w:t xml:space="preserve">データセンター</w:t>
            </w:r>
          </w:p>
        </w:tc>
        <w:tc>
          <w:tcPr>
            <w:tcW w:type="dxa" w:w="6700"/>
            <w:shd w:fill="EAF1F8" w:val="clear"/>
            <w:tcMar>
              <w:top w:type="dxa" w:w="60"/>
              <w:left w:type="dxa" w:w="100"/>
              <w:bottom w:type="dxa" w:w="60"/>
              <w:right w:type="dxa" w:w="100"/>
            </w:tcMar>
            <w:vAlign w:val="center"/>
          </w:tcPr>
          <w:p>
            <w:pPr>
              <w:spacing w:after="40"/>
            </w:pPr>
            <w:r>
              <w:rPr>
                <w:sz w:val="20"/>
                <w:szCs w:val="20"/>
              </w:rPr>
              <w:t xml:space="preserve">データセンターの設計から運用まで</w:t>
            </w:r>
          </w:p>
        </w:tc>
      </w:tr>
    </w:tbl>
    <w:p>
      <w:pPr>
        <w:pStyle w:val="Heading1"/>
        <w:pBdr>
          <w:bottom w:val="single" w:color="0B3B6B" w:sz="8" w:space="4"/>
        </w:pBdr>
        <w:spacing w:after="200" w:before="400"/>
      </w:pPr>
      <w:r>
        <w:rPr>
          <w:b/>
          <w:bCs/>
          <w:color w:val="0B3B6B"/>
          <w:sz w:val="30"/>
          <w:szCs w:val="30"/>
        </w:rPr>
        <w:t xml:space="preserve">5. 組織体制・グループ会社・海外拠点</w:t>
      </w:r>
    </w:p>
    <w:p>
      <w:pPr>
        <w:pStyle w:val="Heading2"/>
        <w:spacing w:after="120" w:before="300"/>
      </w:pPr>
      <w:r>
        <w:rPr>
          <w:b/>
          <w:bCs/>
          <w:color w:val="0B3B6B"/>
          <w:sz w:val="24"/>
          <w:szCs w:val="24"/>
        </w:rPr>
        <w:t xml:space="preserve">お客様の業界に特化した組織体制（2025年4月1日現在）</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6900"/>
      </w:tblGrid>
      <w:tr>
        <w:trPr>
          <w:tblHeader/>
        </w:trPr>
        <w:tc>
          <w:tcPr>
            <w:tcW w:type="dxa" w:w="3000"/>
            <w:shd w:fill="0B3B6B" w:val="clear"/>
            <w:tcMar>
              <w:top w:type="dxa" w:w="60"/>
              <w:left w:type="dxa" w:w="100"/>
              <w:bottom w:type="dxa" w:w="60"/>
              <w:right w:type="dxa" w:w="100"/>
            </w:tcMar>
            <w:vAlign w:val="center"/>
          </w:tcPr>
          <w:p>
            <w:r>
              <w:rPr>
                <w:b/>
                <w:bCs/>
                <w:color w:val="FFFFFF"/>
                <w:sz w:val="20"/>
                <w:szCs w:val="20"/>
              </w:rPr>
              <w:t xml:space="preserve">事業グループ</w:t>
            </w:r>
          </w:p>
        </w:tc>
        <w:tc>
          <w:tcPr>
            <w:tcW w:type="dxa" w:w="6900"/>
            <w:shd w:fill="0B3B6B" w:val="clear"/>
            <w:tcMar>
              <w:top w:type="dxa" w:w="60"/>
              <w:left w:type="dxa" w:w="100"/>
              <w:bottom w:type="dxa" w:w="60"/>
              <w:right w:type="dxa" w:w="100"/>
            </w:tcMar>
            <w:vAlign w:val="center"/>
          </w:tcPr>
          <w:p>
            <w:r>
              <w:rPr>
                <w:b/>
                <w:bCs/>
                <w:color w:val="FFFFFF"/>
                <w:sz w:val="20"/>
                <w:szCs w:val="20"/>
              </w:rPr>
              <w:t xml:space="preserve">主な対象業界</w:t>
            </w:r>
          </w:p>
        </w:tc>
      </w:tr>
      <w:tr>
        <w:tc>
          <w:tcPr>
            <w:tcW w:type="dxa" w:w="3000"/>
            <w:shd w:fill="FFFFFF" w:val="clear"/>
            <w:tcMar>
              <w:top w:type="dxa" w:w="60"/>
              <w:left w:type="dxa" w:w="100"/>
              <w:bottom w:type="dxa" w:w="60"/>
              <w:right w:type="dxa" w:w="100"/>
            </w:tcMar>
            <w:vAlign w:val="center"/>
          </w:tcPr>
          <w:p>
            <w:pPr>
              <w:spacing w:after="40"/>
            </w:pPr>
            <w:r>
              <w:rPr>
                <w:sz w:val="20"/>
                <w:szCs w:val="20"/>
              </w:rPr>
              <w:t xml:space="preserve">エンタープライズ事業グループ</w:t>
            </w:r>
          </w:p>
        </w:tc>
        <w:tc>
          <w:tcPr>
            <w:tcW w:type="dxa" w:w="6900"/>
            <w:shd w:fill="FFFFFF" w:val="clear"/>
            <w:tcMar>
              <w:top w:type="dxa" w:w="60"/>
              <w:left w:type="dxa" w:w="100"/>
              <w:bottom w:type="dxa" w:w="60"/>
              <w:right w:type="dxa" w:w="100"/>
            </w:tcMar>
            <w:vAlign w:val="center"/>
          </w:tcPr>
          <w:p>
            <w:pPr>
              <w:spacing w:after="40"/>
            </w:pPr>
            <w:r>
              <w:rPr>
                <w:sz w:val="20"/>
                <w:szCs w:val="20"/>
              </w:rPr>
              <w:t xml:space="preserve">製造業・自動車、メディアサービス、運輸・生活消費財、ライフサイエンス、ヘルスケア　など</w:t>
            </w:r>
          </w:p>
        </w:tc>
      </w:tr>
      <w:tr>
        <w:tc>
          <w:tcPr>
            <w:tcW w:type="dxa" w:w="3000"/>
            <w:shd w:fill="EAF1F8" w:val="clear"/>
            <w:tcMar>
              <w:top w:type="dxa" w:w="60"/>
              <w:left w:type="dxa" w:w="100"/>
              <w:bottom w:type="dxa" w:w="60"/>
              <w:right w:type="dxa" w:w="100"/>
            </w:tcMar>
            <w:vAlign w:val="center"/>
          </w:tcPr>
          <w:p>
            <w:pPr>
              <w:spacing w:after="40"/>
            </w:pPr>
            <w:r>
              <w:rPr>
                <w:sz w:val="20"/>
                <w:szCs w:val="20"/>
              </w:rPr>
              <w:t xml:space="preserve">リテール＆サービス事業グループ</w:t>
            </w:r>
          </w:p>
        </w:tc>
        <w:tc>
          <w:tcPr>
            <w:tcW w:type="dxa" w:w="6900"/>
            <w:shd w:fill="EAF1F8" w:val="clear"/>
            <w:tcMar>
              <w:top w:type="dxa" w:w="60"/>
              <w:left w:type="dxa" w:w="100"/>
              <w:bottom w:type="dxa" w:w="60"/>
              <w:right w:type="dxa" w:w="100"/>
            </w:tcMar>
            <w:vAlign w:val="center"/>
          </w:tcPr>
          <w:p>
            <w:pPr>
              <w:spacing w:after="40"/>
            </w:pPr>
            <w:r>
              <w:rPr>
                <w:sz w:val="20"/>
                <w:szCs w:val="20"/>
              </w:rPr>
              <w:t xml:space="preserve">流通・食品、卸・小売、サービス業、不動産　など</w:t>
            </w:r>
          </w:p>
        </w:tc>
      </w:tr>
      <w:tr>
        <w:tc>
          <w:tcPr>
            <w:tcW w:type="dxa" w:w="3000"/>
            <w:shd w:fill="FFFFFF" w:val="clear"/>
            <w:tcMar>
              <w:top w:type="dxa" w:w="60"/>
              <w:left w:type="dxa" w:w="100"/>
              <w:bottom w:type="dxa" w:w="60"/>
              <w:right w:type="dxa" w:w="100"/>
            </w:tcMar>
            <w:vAlign w:val="center"/>
          </w:tcPr>
          <w:p>
            <w:pPr>
              <w:spacing w:after="40"/>
            </w:pPr>
            <w:r>
              <w:rPr>
                <w:sz w:val="20"/>
                <w:szCs w:val="20"/>
              </w:rPr>
              <w:t xml:space="preserve">情報通信事業グループ</w:t>
            </w:r>
          </w:p>
        </w:tc>
        <w:tc>
          <w:tcPr>
            <w:tcW w:type="dxa" w:w="6900"/>
            <w:shd w:fill="FFFFFF" w:val="clear"/>
            <w:tcMar>
              <w:top w:type="dxa" w:w="60"/>
              <w:left w:type="dxa" w:w="100"/>
              <w:bottom w:type="dxa" w:w="60"/>
              <w:right w:type="dxa" w:w="100"/>
            </w:tcMar>
            <w:vAlign w:val="center"/>
          </w:tcPr>
          <w:p>
            <w:pPr>
              <w:spacing w:after="40"/>
            </w:pPr>
            <w:r>
              <w:rPr>
                <w:sz w:val="20"/>
                <w:szCs w:val="20"/>
              </w:rPr>
              <w:t xml:space="preserve">通信キャリア、インターネットサービスプロバイダ　など</w:t>
            </w:r>
          </w:p>
        </w:tc>
      </w:tr>
      <w:tr>
        <w:tc>
          <w:tcPr>
            <w:tcW w:type="dxa" w:w="3000"/>
            <w:shd w:fill="EAF1F8" w:val="clear"/>
            <w:tcMar>
              <w:top w:type="dxa" w:w="60"/>
              <w:left w:type="dxa" w:w="100"/>
              <w:bottom w:type="dxa" w:w="60"/>
              <w:right w:type="dxa" w:w="100"/>
            </w:tcMar>
            <w:vAlign w:val="center"/>
          </w:tcPr>
          <w:p>
            <w:pPr>
              <w:spacing w:after="40"/>
            </w:pPr>
            <w:r>
              <w:rPr>
                <w:sz w:val="20"/>
                <w:szCs w:val="20"/>
              </w:rPr>
              <w:t xml:space="preserve">広域・社会インフラ事業グループ</w:t>
            </w:r>
          </w:p>
        </w:tc>
        <w:tc>
          <w:tcPr>
            <w:tcW w:type="dxa" w:w="6900"/>
            <w:shd w:fill="EAF1F8" w:val="clear"/>
            <w:tcMar>
              <w:top w:type="dxa" w:w="60"/>
              <w:left w:type="dxa" w:w="100"/>
              <w:bottom w:type="dxa" w:w="60"/>
              <w:right w:type="dxa" w:w="100"/>
            </w:tcMar>
            <w:vAlign w:val="center"/>
          </w:tcPr>
          <w:p>
            <w:pPr>
              <w:spacing w:after="40"/>
            </w:pPr>
            <w:r>
              <w:rPr>
                <w:sz w:val="20"/>
                <w:szCs w:val="20"/>
              </w:rPr>
              <w:t xml:space="preserve">中央省庁、自治体、教育関連機関、地方銀行、公益事業、社会インフラ企業、地域民間企業　など</w:t>
            </w:r>
          </w:p>
        </w:tc>
      </w:tr>
      <w:tr>
        <w:tc>
          <w:tcPr>
            <w:tcW w:type="dxa" w:w="3000"/>
            <w:shd w:fill="FFFFFF" w:val="clear"/>
            <w:tcMar>
              <w:top w:type="dxa" w:w="60"/>
              <w:left w:type="dxa" w:w="100"/>
              <w:bottom w:type="dxa" w:w="60"/>
              <w:right w:type="dxa" w:w="100"/>
            </w:tcMar>
            <w:vAlign w:val="center"/>
          </w:tcPr>
          <w:p>
            <w:pPr>
              <w:spacing w:after="40"/>
            </w:pPr>
            <w:r>
              <w:rPr>
                <w:sz w:val="20"/>
                <w:szCs w:val="20"/>
              </w:rPr>
              <w:t xml:space="preserve">金融事業グループ</w:t>
            </w:r>
          </w:p>
        </w:tc>
        <w:tc>
          <w:tcPr>
            <w:tcW w:type="dxa" w:w="6900"/>
            <w:shd w:fill="FFFFFF" w:val="clear"/>
            <w:tcMar>
              <w:top w:type="dxa" w:w="60"/>
              <w:left w:type="dxa" w:w="100"/>
              <w:bottom w:type="dxa" w:w="60"/>
              <w:right w:type="dxa" w:w="100"/>
            </w:tcMar>
            <w:vAlign w:val="center"/>
          </w:tcPr>
          <w:p>
            <w:pPr>
              <w:spacing w:after="40"/>
            </w:pPr>
            <w:r>
              <w:rPr>
                <w:sz w:val="20"/>
                <w:szCs w:val="20"/>
              </w:rPr>
              <w:t xml:space="preserve">メガバンク、政府系金融機関、クレジット、保険、証券　など</w:t>
            </w:r>
          </w:p>
        </w:tc>
      </w:tr>
    </w:tbl>
    <w:p>
      <w:pPr>
        <w:spacing w:after="120"/>
      </w:pPr>
    </w:p>
    <w:p>
      <w:pPr>
        <w:spacing w:after="120" w:line="300"/>
      </w:pPr>
      <w:r>
        <w:rPr>
          <w:sz w:val="21"/>
          <w:szCs w:val="21"/>
        </w:rPr>
        <w:t xml:space="preserve">上記5事業グループに加え、全社横断組織として「デジタルサービス事業グループ」（クラウド・セキュリティ・データマネジメント・AI・DXを中心とした最先端IT技術領域を担当）、「CROグループ」（マーケティング戦略、営業横断支援、学術機関との共同研究）、「テクノロジー戦略グループ」（技術動向調査・情報発信、技術基盤強化）を設置。さらに情報システムグループ・経営管理グループ・経営企画グループ・監査本部がグループ全体の基盤を維持・強化している。</w:t>
      </w:r>
    </w:p>
    <w:p>
      <w:pPr>
        <w:pStyle w:val="Heading2"/>
        <w:spacing w:after="120" w:before="300"/>
      </w:pPr>
      <w:r>
        <w:rPr>
          <w:b/>
          <w:bCs/>
          <w:color w:val="0B3B6B"/>
          <w:sz w:val="24"/>
          <w:szCs w:val="24"/>
        </w:rPr>
        <w:t xml:space="preserve">グループ会社によるトータルサポート体制</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200"/>
        <w:gridCol w:w="4700"/>
      </w:tblGrid>
      <w:tr>
        <w:trPr>
          <w:tblHeader/>
        </w:trPr>
        <w:tc>
          <w:tcPr>
            <w:tcW w:type="dxa" w:w="4200"/>
            <w:shd w:fill="0B3B6B" w:val="clear"/>
            <w:tcMar>
              <w:top w:type="dxa" w:w="60"/>
              <w:left w:type="dxa" w:w="100"/>
              <w:bottom w:type="dxa" w:w="60"/>
              <w:right w:type="dxa" w:w="100"/>
            </w:tcMar>
            <w:vAlign w:val="center"/>
          </w:tcPr>
          <w:p>
            <w:r>
              <w:rPr>
                <w:b/>
                <w:bCs/>
                <w:color w:val="FFFFFF"/>
                <w:sz w:val="20"/>
                <w:szCs w:val="20"/>
              </w:rPr>
              <w:t xml:space="preserve">ビジネス領域</w:t>
            </w:r>
          </w:p>
        </w:tc>
        <w:tc>
          <w:tcPr>
            <w:tcW w:type="dxa" w:w="4700"/>
            <w:shd w:fill="0B3B6B" w:val="clear"/>
            <w:tcMar>
              <w:top w:type="dxa" w:w="60"/>
              <w:left w:type="dxa" w:w="100"/>
              <w:bottom w:type="dxa" w:w="60"/>
              <w:right w:type="dxa" w:w="100"/>
            </w:tcMar>
            <w:vAlign w:val="center"/>
          </w:tcPr>
          <w:p>
            <w:r>
              <w:rPr>
                <w:b/>
                <w:bCs/>
                <w:color w:val="FFFFFF"/>
                <w:sz w:val="20"/>
                <w:szCs w:val="20"/>
              </w:rPr>
              <w:t xml:space="preserve">主なグループ会社</w:t>
            </w:r>
          </w:p>
        </w:tc>
      </w:tr>
      <w:tr>
        <w:tc>
          <w:tcPr>
            <w:tcW w:type="dxa" w:w="4200"/>
            <w:shd w:fill="FFFFFF" w:val="clear"/>
            <w:tcMar>
              <w:top w:type="dxa" w:w="60"/>
              <w:left w:type="dxa" w:w="100"/>
              <w:bottom w:type="dxa" w:w="60"/>
              <w:right w:type="dxa" w:w="100"/>
            </w:tcMar>
            <w:vAlign w:val="center"/>
          </w:tcPr>
          <w:p>
            <w:pPr>
              <w:spacing w:after="40"/>
            </w:pPr>
            <w:r>
              <w:rPr>
                <w:sz w:val="20"/>
                <w:szCs w:val="20"/>
              </w:rPr>
              <w:t xml:space="preserve">保守・運用サービス（システム保守・サポート）</w:t>
            </w:r>
          </w:p>
        </w:tc>
        <w:tc>
          <w:tcPr>
            <w:tcW w:type="dxa" w:w="4700"/>
            <w:shd w:fill="FFFFFF" w:val="clear"/>
            <w:tcMar>
              <w:top w:type="dxa" w:w="60"/>
              <w:left w:type="dxa" w:w="100"/>
              <w:bottom w:type="dxa" w:w="60"/>
              <w:right w:type="dxa" w:w="100"/>
            </w:tcMar>
            <w:vAlign w:val="center"/>
          </w:tcPr>
          <w:p>
            <w:pPr>
              <w:spacing w:after="40"/>
            </w:pPr>
            <w:r>
              <w:rPr>
                <w:sz w:val="20"/>
                <w:szCs w:val="20"/>
              </w:rPr>
              <w:t xml:space="preserve">CTCテクノロジー株式会社</w:t>
            </w:r>
          </w:p>
        </w:tc>
      </w:tr>
      <w:tr>
        <w:tc>
          <w:tcPr>
            <w:tcW w:type="dxa" w:w="4200"/>
            <w:shd w:fill="EAF1F8" w:val="clear"/>
            <w:tcMar>
              <w:top w:type="dxa" w:w="60"/>
              <w:left w:type="dxa" w:w="100"/>
              <w:bottom w:type="dxa" w:w="60"/>
              <w:right w:type="dxa" w:w="100"/>
            </w:tcMar>
            <w:vAlign w:val="center"/>
          </w:tcPr>
          <w:p>
            <w:pPr>
              <w:spacing w:after="40"/>
            </w:pPr>
            <w:r>
              <w:rPr>
                <w:sz w:val="20"/>
                <w:szCs w:val="20"/>
              </w:rPr>
              <w:t xml:space="preserve">保守・運用サービス（システム運用・サポート）</w:t>
            </w:r>
          </w:p>
        </w:tc>
        <w:tc>
          <w:tcPr>
            <w:tcW w:type="dxa" w:w="4700"/>
            <w:shd w:fill="EAF1F8" w:val="clear"/>
            <w:tcMar>
              <w:top w:type="dxa" w:w="60"/>
              <w:left w:type="dxa" w:w="100"/>
              <w:bottom w:type="dxa" w:w="60"/>
              <w:right w:type="dxa" w:w="100"/>
            </w:tcMar>
            <w:vAlign w:val="center"/>
          </w:tcPr>
          <w:p>
            <w:pPr>
              <w:spacing w:after="40"/>
            </w:pPr>
            <w:r>
              <w:rPr>
                <w:sz w:val="20"/>
                <w:szCs w:val="20"/>
              </w:rPr>
              <w:t xml:space="preserve">CTCシステムマネジメント株式会社</w:t>
            </w:r>
          </w:p>
        </w:tc>
      </w:tr>
      <w:tr>
        <w:tc>
          <w:tcPr>
            <w:tcW w:type="dxa" w:w="4200"/>
            <w:shd w:fill="FFFFFF" w:val="clear"/>
            <w:tcMar>
              <w:top w:type="dxa" w:w="60"/>
              <w:left w:type="dxa" w:w="100"/>
              <w:bottom w:type="dxa" w:w="60"/>
              <w:right w:type="dxa" w:w="100"/>
            </w:tcMar>
            <w:vAlign w:val="center"/>
          </w:tcPr>
          <w:p>
            <w:pPr>
              <w:spacing w:after="40"/>
            </w:pPr>
            <w:r>
              <w:rPr>
                <w:sz w:val="20"/>
                <w:szCs w:val="20"/>
              </w:rPr>
              <w:t xml:space="preserve">データセンター・設備管理</w:t>
            </w:r>
          </w:p>
        </w:tc>
        <w:tc>
          <w:tcPr>
            <w:tcW w:type="dxa" w:w="4700"/>
            <w:shd w:fill="FFFFFF" w:val="clear"/>
            <w:tcMar>
              <w:top w:type="dxa" w:w="60"/>
              <w:left w:type="dxa" w:w="100"/>
              <w:bottom w:type="dxa" w:w="60"/>
              <w:right w:type="dxa" w:w="100"/>
            </w:tcMar>
            <w:vAlign w:val="center"/>
          </w:tcPr>
          <w:p>
            <w:pPr>
              <w:spacing w:after="40"/>
            </w:pPr>
            <w:r>
              <w:rPr>
                <w:sz w:val="20"/>
                <w:szCs w:val="20"/>
              </w:rPr>
              <w:t xml:space="preserve">CTCファシリティーズ株式会社</w:t>
            </w:r>
          </w:p>
        </w:tc>
      </w:tr>
      <w:tr>
        <w:tc>
          <w:tcPr>
            <w:tcW w:type="dxa" w:w="4200"/>
            <w:shd w:fill="EAF1F8" w:val="clear"/>
            <w:tcMar>
              <w:top w:type="dxa" w:w="60"/>
              <w:left w:type="dxa" w:w="100"/>
              <w:bottom w:type="dxa" w:w="60"/>
              <w:right w:type="dxa" w:w="100"/>
            </w:tcMar>
            <w:vAlign w:val="center"/>
          </w:tcPr>
          <w:p>
            <w:pPr>
              <w:spacing w:after="40"/>
            </w:pPr>
            <w:r>
              <w:rPr>
                <w:sz w:val="20"/>
                <w:szCs w:val="20"/>
              </w:rPr>
              <w:t xml:space="preserve">コンタクトセンター・ヘルプデスク</w:t>
            </w:r>
          </w:p>
        </w:tc>
        <w:tc>
          <w:tcPr>
            <w:tcW w:type="dxa" w:w="4700"/>
            <w:shd w:fill="EAF1F8" w:val="clear"/>
            <w:tcMar>
              <w:top w:type="dxa" w:w="60"/>
              <w:left w:type="dxa" w:w="100"/>
              <w:bottom w:type="dxa" w:w="60"/>
              <w:right w:type="dxa" w:w="100"/>
            </w:tcMar>
            <w:vAlign w:val="center"/>
          </w:tcPr>
          <w:p>
            <w:pPr>
              <w:spacing w:after="40"/>
            </w:pPr>
            <w:r>
              <w:rPr>
                <w:sz w:val="20"/>
                <w:szCs w:val="20"/>
              </w:rPr>
              <w:t xml:space="preserve">CTCファーストコンタクト株式会社</w:t>
            </w:r>
          </w:p>
        </w:tc>
      </w:tr>
      <w:tr>
        <w:tc>
          <w:tcPr>
            <w:tcW w:type="dxa" w:w="4200"/>
            <w:shd w:fill="FFFFFF" w:val="clear"/>
            <w:tcMar>
              <w:top w:type="dxa" w:w="60"/>
              <w:left w:type="dxa" w:w="100"/>
              <w:bottom w:type="dxa" w:w="60"/>
              <w:right w:type="dxa" w:w="100"/>
            </w:tcMar>
            <w:vAlign w:val="center"/>
          </w:tcPr>
          <w:p>
            <w:pPr>
              <w:spacing w:after="40"/>
            </w:pPr>
            <w:r>
              <w:rPr>
                <w:sz w:val="20"/>
                <w:szCs w:val="20"/>
              </w:rPr>
              <w:t xml:space="preserve">製品販売ビジネス</w:t>
            </w:r>
          </w:p>
        </w:tc>
        <w:tc>
          <w:tcPr>
            <w:tcW w:type="dxa" w:w="4700"/>
            <w:shd w:fill="FFFFFF" w:val="clear"/>
            <w:tcMar>
              <w:top w:type="dxa" w:w="60"/>
              <w:left w:type="dxa" w:w="100"/>
              <w:bottom w:type="dxa" w:w="60"/>
              <w:right w:type="dxa" w:w="100"/>
            </w:tcMar>
            <w:vAlign w:val="center"/>
          </w:tcPr>
          <w:p>
            <w:pPr>
              <w:spacing w:after="40"/>
            </w:pPr>
            <w:r>
              <w:rPr>
                <w:sz w:val="20"/>
                <w:szCs w:val="20"/>
              </w:rPr>
              <w:t xml:space="preserve">CTCエスピー株式会社</w:t>
            </w:r>
          </w:p>
        </w:tc>
      </w:tr>
      <w:tr>
        <w:tc>
          <w:tcPr>
            <w:tcW w:type="dxa" w:w="4200"/>
            <w:shd w:fill="EAF1F8" w:val="clear"/>
            <w:tcMar>
              <w:top w:type="dxa" w:w="60"/>
              <w:left w:type="dxa" w:w="100"/>
              <w:bottom w:type="dxa" w:w="60"/>
              <w:right w:type="dxa" w:w="100"/>
            </w:tcMar>
            <w:vAlign w:val="center"/>
          </w:tcPr>
          <w:p>
            <w:pPr>
              <w:spacing w:after="40"/>
            </w:pPr>
            <w:r>
              <w:rPr>
                <w:sz w:val="20"/>
                <w:szCs w:val="20"/>
              </w:rPr>
              <w:t xml:space="preserve">業界特化ビジネス（金融等）</w:t>
            </w:r>
          </w:p>
        </w:tc>
        <w:tc>
          <w:tcPr>
            <w:tcW w:type="dxa" w:w="4700"/>
            <w:shd w:fill="EAF1F8" w:val="clear"/>
            <w:tcMar>
              <w:top w:type="dxa" w:w="60"/>
              <w:left w:type="dxa" w:w="100"/>
              <w:bottom w:type="dxa" w:w="60"/>
              <w:right w:type="dxa" w:w="100"/>
            </w:tcMar>
            <w:vAlign w:val="center"/>
          </w:tcPr>
          <w:p>
            <w:pPr>
              <w:spacing w:after="40"/>
            </w:pPr>
            <w:r>
              <w:rPr>
                <w:sz w:val="20"/>
                <w:szCs w:val="20"/>
              </w:rPr>
              <w:t xml:space="preserve">アサヒビジネスソリューションズ株式会社</w:t>
            </w:r>
          </w:p>
        </w:tc>
      </w:tr>
      <w:tr>
        <w:tc>
          <w:tcPr>
            <w:tcW w:type="dxa" w:w="4200"/>
            <w:shd w:fill="FFFFFF" w:val="clear"/>
            <w:tcMar>
              <w:top w:type="dxa" w:w="60"/>
              <w:left w:type="dxa" w:w="100"/>
              <w:bottom w:type="dxa" w:w="60"/>
              <w:right w:type="dxa" w:w="100"/>
            </w:tcMar>
            <w:vAlign w:val="center"/>
          </w:tcPr>
          <w:p>
            <w:pPr>
              <w:spacing w:after="40"/>
            </w:pPr>
            <w:r>
              <w:rPr>
                <w:sz w:val="20"/>
                <w:szCs w:val="20"/>
              </w:rPr>
              <w:t xml:space="preserve">障がい者雇用の推進</w:t>
            </w:r>
          </w:p>
        </w:tc>
        <w:tc>
          <w:tcPr>
            <w:tcW w:type="dxa" w:w="4700"/>
            <w:shd w:fill="FFFFFF" w:val="clear"/>
            <w:tcMar>
              <w:top w:type="dxa" w:w="60"/>
              <w:left w:type="dxa" w:w="100"/>
              <w:bottom w:type="dxa" w:w="60"/>
              <w:right w:type="dxa" w:w="100"/>
            </w:tcMar>
            <w:vAlign w:val="center"/>
          </w:tcPr>
          <w:p>
            <w:pPr>
              <w:spacing w:after="40"/>
            </w:pPr>
            <w:r>
              <w:rPr>
                <w:sz w:val="20"/>
                <w:szCs w:val="20"/>
              </w:rPr>
              <w:t xml:space="preserve">CTCひなり株式会社</w:t>
            </w:r>
          </w:p>
        </w:tc>
      </w:tr>
    </w:tbl>
    <w:p>
      <w:pPr>
        <w:spacing w:after="120"/>
      </w:pPr>
    </w:p>
    <w:p>
      <w:pPr>
        <w:pStyle w:val="Heading2"/>
        <w:spacing w:after="120" w:before="300"/>
      </w:pPr>
      <w:r>
        <w:rPr>
          <w:b/>
          <w:bCs/>
          <w:color w:val="0B3B6B"/>
          <w:sz w:val="24"/>
          <w:szCs w:val="24"/>
        </w:rPr>
        <w:t xml:space="preserve">海外拠点</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3900"/>
      </w:tblGrid>
      <w:tr>
        <w:trPr>
          <w:tblHeader/>
        </w:trPr>
        <w:tc>
          <w:tcPr>
            <w:tcW w:type="dxa" w:w="1600"/>
            <w:shd w:fill="0B3B6B" w:val="clear"/>
            <w:tcMar>
              <w:top w:type="dxa" w:w="60"/>
              <w:left w:type="dxa" w:w="100"/>
              <w:bottom w:type="dxa" w:w="60"/>
              <w:right w:type="dxa" w:w="100"/>
            </w:tcMar>
            <w:vAlign w:val="center"/>
          </w:tcPr>
          <w:p>
            <w:r>
              <w:rPr>
                <w:b/>
                <w:bCs/>
                <w:color w:val="FFFFFF"/>
                <w:sz w:val="20"/>
                <w:szCs w:val="20"/>
              </w:rPr>
              <w:t xml:space="preserve">国・地域</w:t>
            </w:r>
          </w:p>
        </w:tc>
        <w:tc>
          <w:tcPr>
            <w:tcW w:type="dxa" w:w="3400"/>
            <w:shd w:fill="0B3B6B" w:val="clear"/>
            <w:tcMar>
              <w:top w:type="dxa" w:w="60"/>
              <w:left w:type="dxa" w:w="100"/>
              <w:bottom w:type="dxa" w:w="60"/>
              <w:right w:type="dxa" w:w="100"/>
            </w:tcMar>
            <w:vAlign w:val="center"/>
          </w:tcPr>
          <w:p>
            <w:r>
              <w:rPr>
                <w:b/>
                <w:bCs/>
                <w:color w:val="FFFFFF"/>
                <w:sz w:val="20"/>
                <w:szCs w:val="20"/>
              </w:rPr>
              <w:t xml:space="preserve">拠点</w:t>
            </w:r>
          </w:p>
        </w:tc>
        <w:tc>
          <w:tcPr>
            <w:tcW w:type="dxa" w:w="3900"/>
            <w:shd w:fill="0B3B6B" w:val="clear"/>
            <w:tcMar>
              <w:top w:type="dxa" w:w="60"/>
              <w:left w:type="dxa" w:w="100"/>
              <w:bottom w:type="dxa" w:w="60"/>
              <w:right w:type="dxa" w:w="100"/>
            </w:tcMar>
            <w:vAlign w:val="center"/>
          </w:tcPr>
          <w:p>
            <w:r>
              <w:rPr>
                <w:b/>
                <w:bCs/>
                <w:color w:val="FFFFFF"/>
                <w:sz w:val="20"/>
                <w:szCs w:val="20"/>
              </w:rPr>
              <w:t xml:space="preserve">概要</w:t>
            </w:r>
          </w:p>
        </w:tc>
      </w:tr>
      <w:tr>
        <w:tc>
          <w:tcPr>
            <w:tcW w:type="dxa" w:w="1600"/>
            <w:shd w:fill="FFFFFF" w:val="clear"/>
            <w:tcMar>
              <w:top w:type="dxa" w:w="60"/>
              <w:left w:type="dxa" w:w="100"/>
              <w:bottom w:type="dxa" w:w="60"/>
              <w:right w:type="dxa" w:w="100"/>
            </w:tcMar>
            <w:vAlign w:val="center"/>
          </w:tcPr>
          <w:p>
            <w:pPr>
              <w:spacing w:after="40"/>
            </w:pPr>
            <w:r>
              <w:rPr>
                <w:sz w:val="20"/>
                <w:szCs w:val="20"/>
              </w:rPr>
              <w:t xml:space="preserve">アメリカ</w:t>
            </w:r>
          </w:p>
        </w:tc>
        <w:tc>
          <w:tcPr>
            <w:tcW w:type="dxa" w:w="3400"/>
            <w:shd w:fill="FFFFFF" w:val="clear"/>
            <w:tcMar>
              <w:top w:type="dxa" w:w="60"/>
              <w:left w:type="dxa" w:w="100"/>
              <w:bottom w:type="dxa" w:w="60"/>
              <w:right w:type="dxa" w:w="100"/>
            </w:tcMar>
            <w:vAlign w:val="center"/>
          </w:tcPr>
          <w:p>
            <w:pPr>
              <w:spacing w:after="40"/>
            </w:pPr>
            <w:r>
              <w:rPr>
                <w:sz w:val="20"/>
                <w:szCs w:val="20"/>
              </w:rPr>
              <w:t xml:space="preserve">ITOCHU Techno-Solutions America, Inc.</w:t>
            </w:r>
          </w:p>
        </w:tc>
        <w:tc>
          <w:tcPr>
            <w:tcW w:type="dxa" w:w="3900"/>
            <w:shd w:fill="FFFFFF" w:val="clear"/>
            <w:tcMar>
              <w:top w:type="dxa" w:w="60"/>
              <w:left w:type="dxa" w:w="100"/>
              <w:bottom w:type="dxa" w:w="60"/>
              <w:right w:type="dxa" w:w="100"/>
            </w:tcMar>
            <w:vAlign w:val="center"/>
          </w:tcPr>
          <w:p>
            <w:pPr>
              <w:spacing w:after="40"/>
            </w:pPr>
            <w:r>
              <w:rPr>
                <w:sz w:val="20"/>
                <w:szCs w:val="20"/>
              </w:rPr>
              <w:t xml:space="preserve">1990年設立。先進技術が集積する米国での技術開拓・調査活動を担う。シリコンバレーで30年以上のR&amp;D実績を持つ</w:t>
            </w:r>
          </w:p>
        </w:tc>
      </w:tr>
      <w:tr>
        <w:tc>
          <w:tcPr>
            <w:tcW w:type="dxa" w:w="1600"/>
            <w:shd w:fill="EAF1F8" w:val="clear"/>
            <w:tcMar>
              <w:top w:type="dxa" w:w="60"/>
              <w:left w:type="dxa" w:w="100"/>
              <w:bottom w:type="dxa" w:w="60"/>
              <w:right w:type="dxa" w:w="100"/>
            </w:tcMar>
            <w:vAlign w:val="center"/>
          </w:tcPr>
          <w:p>
            <w:pPr>
              <w:spacing w:after="40"/>
            </w:pPr>
            <w:r>
              <w:rPr>
                <w:sz w:val="20"/>
                <w:szCs w:val="20"/>
              </w:rPr>
              <w:t xml:space="preserve">マレーシア</w:t>
            </w:r>
          </w:p>
        </w:tc>
        <w:tc>
          <w:tcPr>
            <w:tcW w:type="dxa" w:w="3400"/>
            <w:shd w:fill="EAF1F8" w:val="clear"/>
            <w:tcMar>
              <w:top w:type="dxa" w:w="60"/>
              <w:left w:type="dxa" w:w="100"/>
              <w:bottom w:type="dxa" w:w="60"/>
              <w:right w:type="dxa" w:w="100"/>
            </w:tcMar>
            <w:vAlign w:val="center"/>
          </w:tcPr>
          <w:p>
            <w:pPr>
              <w:spacing w:after="40"/>
            </w:pPr>
            <w:r>
              <w:rPr>
                <w:sz w:val="20"/>
                <w:szCs w:val="20"/>
              </w:rPr>
              <w:t xml:space="preserve">CTC Global Sdn. Bhd.</w:t>
            </w:r>
          </w:p>
        </w:tc>
        <w:tc>
          <w:tcPr>
            <w:tcW w:type="dxa" w:w="3900"/>
            <w:shd w:fill="EAF1F8" w:val="clear"/>
            <w:tcMar>
              <w:top w:type="dxa" w:w="60"/>
              <w:left w:type="dxa" w:w="100"/>
              <w:bottom w:type="dxa" w:w="60"/>
              <w:right w:type="dxa" w:w="100"/>
            </w:tcMar>
            <w:vAlign w:val="center"/>
          </w:tcPr>
          <w:p>
            <w:pPr>
              <w:spacing w:after="40"/>
            </w:pPr>
            <w:r>
              <w:rPr>
                <w:sz w:val="20"/>
                <w:szCs w:val="20"/>
              </w:rPr>
              <w:t xml:space="preserve">現地企業・日系企業向けにインフラを中心としたSIer事業、保守運用サービスを提供</w:t>
            </w:r>
          </w:p>
        </w:tc>
      </w:tr>
      <w:tr>
        <w:tc>
          <w:tcPr>
            <w:tcW w:type="dxa" w:w="1600"/>
            <w:shd w:fill="FFFFFF" w:val="clear"/>
            <w:tcMar>
              <w:top w:type="dxa" w:w="60"/>
              <w:left w:type="dxa" w:w="100"/>
              <w:bottom w:type="dxa" w:w="60"/>
              <w:right w:type="dxa" w:w="100"/>
            </w:tcMar>
            <w:vAlign w:val="center"/>
          </w:tcPr>
          <w:p>
            <w:pPr>
              <w:spacing w:after="40"/>
            </w:pPr>
            <w:r>
              <w:rPr>
                <w:sz w:val="20"/>
                <w:szCs w:val="20"/>
              </w:rPr>
              <w:t xml:space="preserve">シンガポール</w:t>
            </w:r>
          </w:p>
        </w:tc>
        <w:tc>
          <w:tcPr>
            <w:tcW w:type="dxa" w:w="3400"/>
            <w:shd w:fill="FFFFFF" w:val="clear"/>
            <w:tcMar>
              <w:top w:type="dxa" w:w="60"/>
              <w:left w:type="dxa" w:w="100"/>
              <w:bottom w:type="dxa" w:w="60"/>
              <w:right w:type="dxa" w:w="100"/>
            </w:tcMar>
            <w:vAlign w:val="center"/>
          </w:tcPr>
          <w:p>
            <w:pPr>
              <w:spacing w:after="40"/>
            </w:pPr>
            <w:r>
              <w:rPr>
                <w:sz w:val="20"/>
                <w:szCs w:val="20"/>
              </w:rPr>
              <w:t xml:space="preserve">CTC Global Pte. Ltd.</w:t>
            </w:r>
          </w:p>
        </w:tc>
        <w:tc>
          <w:tcPr>
            <w:tcW w:type="dxa" w:w="3900"/>
            <w:shd w:fill="FFFFFF" w:val="clear"/>
            <w:tcMar>
              <w:top w:type="dxa" w:w="60"/>
              <w:left w:type="dxa" w:w="100"/>
              <w:bottom w:type="dxa" w:w="60"/>
              <w:right w:type="dxa" w:w="100"/>
            </w:tcMar>
            <w:vAlign w:val="center"/>
          </w:tcPr>
          <w:p>
            <w:pPr>
              <w:spacing w:after="40"/>
            </w:pPr>
            <w:r>
              <w:rPr>
                <w:sz w:val="20"/>
                <w:szCs w:val="20"/>
              </w:rPr>
              <w:t xml:space="preserve">同上。クラウド・セキュリティ等のサービスビジネスを拡大</w:t>
            </w:r>
          </w:p>
        </w:tc>
      </w:tr>
      <w:tr>
        <w:tc>
          <w:tcPr>
            <w:tcW w:type="dxa" w:w="1600"/>
            <w:shd w:fill="EAF1F8" w:val="clear"/>
            <w:tcMar>
              <w:top w:type="dxa" w:w="60"/>
              <w:left w:type="dxa" w:w="100"/>
              <w:bottom w:type="dxa" w:w="60"/>
              <w:right w:type="dxa" w:w="100"/>
            </w:tcMar>
            <w:vAlign w:val="center"/>
          </w:tcPr>
          <w:p>
            <w:pPr>
              <w:spacing w:after="40"/>
            </w:pPr>
            <w:r>
              <w:rPr>
                <w:sz w:val="20"/>
                <w:szCs w:val="20"/>
              </w:rPr>
              <w:t xml:space="preserve">タイ</w:t>
            </w:r>
          </w:p>
        </w:tc>
        <w:tc>
          <w:tcPr>
            <w:tcW w:type="dxa" w:w="3400"/>
            <w:shd w:fill="EAF1F8" w:val="clear"/>
            <w:tcMar>
              <w:top w:type="dxa" w:w="60"/>
              <w:left w:type="dxa" w:w="100"/>
              <w:bottom w:type="dxa" w:w="60"/>
              <w:right w:type="dxa" w:w="100"/>
            </w:tcMar>
            <w:vAlign w:val="center"/>
          </w:tcPr>
          <w:p>
            <w:pPr>
              <w:spacing w:after="40"/>
            </w:pPr>
            <w:r>
              <w:rPr>
                <w:sz w:val="20"/>
                <w:szCs w:val="20"/>
              </w:rPr>
              <w:t xml:space="preserve">CTC Global (Thailand) Ltd.</w:t>
            </w:r>
          </w:p>
        </w:tc>
        <w:tc>
          <w:tcPr>
            <w:tcW w:type="dxa" w:w="3900"/>
            <w:shd w:fill="EAF1F8" w:val="clear"/>
            <w:tcMar>
              <w:top w:type="dxa" w:w="60"/>
              <w:left w:type="dxa" w:w="100"/>
              <w:bottom w:type="dxa" w:w="60"/>
              <w:right w:type="dxa" w:w="100"/>
            </w:tcMar>
            <w:vAlign w:val="center"/>
          </w:tcPr>
          <w:p>
            <w:pPr>
              <w:spacing w:after="40"/>
            </w:pPr>
            <w:r>
              <w:rPr>
                <w:sz w:val="20"/>
                <w:szCs w:val="20"/>
              </w:rPr>
              <w:t xml:space="preserve">同上</w:t>
            </w:r>
          </w:p>
        </w:tc>
      </w:tr>
      <w:tr>
        <w:tc>
          <w:tcPr>
            <w:tcW w:type="dxa" w:w="1600"/>
            <w:shd w:fill="FFFFFF" w:val="clear"/>
            <w:tcMar>
              <w:top w:type="dxa" w:w="60"/>
              <w:left w:type="dxa" w:w="100"/>
              <w:bottom w:type="dxa" w:w="60"/>
              <w:right w:type="dxa" w:w="100"/>
            </w:tcMar>
            <w:vAlign w:val="center"/>
          </w:tcPr>
          <w:p>
            <w:pPr>
              <w:spacing w:after="40"/>
            </w:pPr>
            <w:r>
              <w:rPr>
                <w:sz w:val="20"/>
                <w:szCs w:val="20"/>
              </w:rPr>
              <w:t xml:space="preserve">インドネシア</w:t>
            </w:r>
          </w:p>
        </w:tc>
        <w:tc>
          <w:tcPr>
            <w:tcW w:type="dxa" w:w="3400"/>
            <w:shd w:fill="FFFFFF" w:val="clear"/>
            <w:tcMar>
              <w:top w:type="dxa" w:w="60"/>
              <w:left w:type="dxa" w:w="100"/>
              <w:bottom w:type="dxa" w:w="60"/>
              <w:right w:type="dxa" w:w="100"/>
            </w:tcMar>
            <w:vAlign w:val="center"/>
          </w:tcPr>
          <w:p>
            <w:pPr>
              <w:spacing w:after="40"/>
            </w:pPr>
            <w:r>
              <w:rPr>
                <w:sz w:val="20"/>
                <w:szCs w:val="20"/>
              </w:rPr>
              <w:t xml:space="preserve">PT. Nusantara Compnet Integrator／PT. Pro Sistimatika Automasi</w:t>
            </w:r>
          </w:p>
        </w:tc>
        <w:tc>
          <w:tcPr>
            <w:tcW w:type="dxa" w:w="3900"/>
            <w:shd w:fill="FFFFFF" w:val="clear"/>
            <w:tcMar>
              <w:top w:type="dxa" w:w="60"/>
              <w:left w:type="dxa" w:w="100"/>
              <w:bottom w:type="dxa" w:w="60"/>
              <w:right w:type="dxa" w:w="100"/>
            </w:tcMar>
            <w:vAlign w:val="center"/>
          </w:tcPr>
          <w:p>
            <w:pPr>
              <w:spacing w:after="40"/>
            </w:pPr>
            <w:r>
              <w:rPr>
                <w:sz w:val="20"/>
                <w:szCs w:val="20"/>
              </w:rPr>
              <w:t xml:space="preserve">2019年に正式ビジネス開始。現地企業を数名体制から本格買収・展開</w:t>
            </w:r>
          </w:p>
        </w:tc>
      </w:tr>
      <w:tr>
        <w:tc>
          <w:tcPr>
            <w:tcW w:type="dxa" w:w="1600"/>
            <w:shd w:fill="EAF1F8" w:val="clear"/>
            <w:tcMar>
              <w:top w:type="dxa" w:w="60"/>
              <w:left w:type="dxa" w:w="100"/>
              <w:bottom w:type="dxa" w:w="60"/>
              <w:right w:type="dxa" w:w="100"/>
            </w:tcMar>
            <w:vAlign w:val="center"/>
          </w:tcPr>
          <w:p>
            <w:pPr>
              <w:spacing w:after="40"/>
            </w:pPr>
            <w:r>
              <w:rPr>
                <w:sz w:val="20"/>
                <w:szCs w:val="20"/>
              </w:rPr>
              <w:t xml:space="preserve">台湾</w:t>
            </w:r>
          </w:p>
        </w:tc>
        <w:tc>
          <w:tcPr>
            <w:tcW w:type="dxa" w:w="3400"/>
            <w:shd w:fill="EAF1F8" w:val="clear"/>
            <w:tcMar>
              <w:top w:type="dxa" w:w="60"/>
              <w:left w:type="dxa" w:w="100"/>
              <w:bottom w:type="dxa" w:w="60"/>
              <w:right w:type="dxa" w:w="100"/>
            </w:tcMar>
            <w:vAlign w:val="center"/>
          </w:tcPr>
          <w:p>
            <w:pPr>
              <w:spacing w:after="40"/>
            </w:pPr>
            <w:r>
              <w:rPr>
                <w:sz w:val="20"/>
                <w:szCs w:val="20"/>
              </w:rPr>
              <w:t xml:space="preserve">台湾代表者事務所</w:t>
            </w:r>
          </w:p>
        </w:tc>
        <w:tc>
          <w:tcPr>
            <w:tcW w:type="dxa" w:w="3900"/>
            <w:shd w:fill="EAF1F8" w:val="clear"/>
            <w:tcMar>
              <w:top w:type="dxa" w:w="60"/>
              <w:left w:type="dxa" w:w="100"/>
              <w:bottom w:type="dxa" w:w="60"/>
              <w:right w:type="dxa" w:w="100"/>
            </w:tcMar>
            <w:vAlign w:val="center"/>
          </w:tcPr>
          <w:p>
            <w:pPr>
              <w:spacing w:after="40"/>
            </w:pPr>
            <w:r>
              <w:rPr>
                <w:sz w:val="20"/>
                <w:szCs w:val="20"/>
              </w:rPr>
              <w:t xml:space="preserve">2023年設立。先進技術やパートナー連携の調査を目的に、台湾地域の企業・団体との情報交換を推進</w:t>
            </w:r>
          </w:p>
        </w:tc>
      </w:tr>
    </w:tbl>
    <w:p>
      <w:pPr>
        <w:pStyle w:val="Heading1"/>
        <w:pBdr>
          <w:bottom w:val="single" w:color="0B3B6B" w:sz="8" w:space="4"/>
        </w:pBdr>
        <w:spacing w:after="200" w:before="400"/>
      </w:pPr>
      <w:r>
        <w:rPr>
          <w:b/>
          <w:bCs/>
          <w:color w:val="0B3B6B"/>
          <w:sz w:val="30"/>
          <w:szCs w:val="30"/>
        </w:rPr>
        <w:t xml:space="preserve">6. 顧客基盤</w:t>
      </w:r>
    </w:p>
    <w:p>
      <w:pPr>
        <w:spacing w:after="120" w:line="300"/>
      </w:pPr>
      <w:r>
        <w:rPr>
          <w:sz w:val="21"/>
          <w:szCs w:val="21"/>
        </w:rPr>
        <w:t xml:space="preserve">情報通信、製造・建設、金融・保険・不動産、卸売・小売・運輸、官公庁・自治体・電気・ガスなど、日本の社会基盤を支える多様な業界に顧客を持つ点がCTCグループの特長かつ強み。長年にわたり幅広い分野の顧客と歩み、培ってきた経験と知見を活かし、様々な課題解決に向けた共創を続けている。</w:t>
      </w:r>
    </w:p>
    <w:p>
      <w:pPr>
        <w:pStyle w:val="Heading2"/>
        <w:spacing w:after="120" w:before="300"/>
      </w:pPr>
      <w:r>
        <w:rPr>
          <w:b/>
          <w:bCs/>
          <w:color w:val="0B3B6B"/>
          <w:sz w:val="24"/>
          <w:szCs w:val="24"/>
        </w:rPr>
        <w:t xml:space="preserve">業種別売上構成比（2024年度、売上収益7,282億円）</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100"/>
        <w:gridCol w:w="1600"/>
        <w:gridCol w:w="4900"/>
      </w:tblGrid>
      <w:tr>
        <w:trPr>
          <w:tblHeader/>
        </w:trPr>
        <w:tc>
          <w:tcPr>
            <w:tcW w:type="dxa" w:w="3100"/>
            <w:shd w:fill="0B3B6B" w:val="clear"/>
            <w:tcMar>
              <w:top w:type="dxa" w:w="60"/>
              <w:left w:type="dxa" w:w="100"/>
              <w:bottom w:type="dxa" w:w="60"/>
              <w:right w:type="dxa" w:w="100"/>
            </w:tcMar>
            <w:vAlign w:val="center"/>
          </w:tcPr>
          <w:p>
            <w:r>
              <w:rPr>
                <w:b/>
                <w:bCs/>
                <w:color w:val="FFFFFF"/>
                <w:sz w:val="20"/>
                <w:szCs w:val="20"/>
              </w:rPr>
              <w:t xml:space="preserve">業種</w:t>
            </w:r>
          </w:p>
        </w:tc>
        <w:tc>
          <w:tcPr>
            <w:tcW w:type="dxa" w:w="1600"/>
            <w:shd w:fill="0B3B6B" w:val="clear"/>
            <w:tcMar>
              <w:top w:type="dxa" w:w="60"/>
              <w:left w:type="dxa" w:w="100"/>
              <w:bottom w:type="dxa" w:w="60"/>
              <w:right w:type="dxa" w:w="100"/>
            </w:tcMar>
            <w:vAlign w:val="center"/>
          </w:tcPr>
          <w:p>
            <w:r>
              <w:rPr>
                <w:b/>
                <w:bCs/>
                <w:color w:val="FFFFFF"/>
                <w:sz w:val="20"/>
                <w:szCs w:val="20"/>
              </w:rPr>
              <w:t xml:space="preserve">構成比</w:t>
            </w:r>
          </w:p>
        </w:tc>
        <w:tc>
          <w:tcPr>
            <w:tcW w:type="dxa" w:w="4900"/>
            <w:shd w:fill="0B3B6B" w:val="clear"/>
            <w:tcMar>
              <w:top w:type="dxa" w:w="60"/>
              <w:left w:type="dxa" w:w="100"/>
              <w:bottom w:type="dxa" w:w="60"/>
              <w:right w:type="dxa" w:w="100"/>
            </w:tcMar>
            <w:vAlign w:val="center"/>
          </w:tcPr>
          <w:p>
            <w:r>
              <w:rPr>
                <w:b/>
                <w:bCs/>
                <w:color w:val="FFFFFF"/>
                <w:sz w:val="20"/>
                <w:szCs w:val="20"/>
              </w:rPr>
              <w:t xml:space="preserve">主な顧客セグメント</w:t>
            </w:r>
          </w:p>
        </w:tc>
      </w:tr>
      <w:tr>
        <w:tc>
          <w:tcPr>
            <w:tcW w:type="dxa" w:w="3100"/>
            <w:shd w:fill="FFFFFF" w:val="clear"/>
            <w:tcMar>
              <w:top w:type="dxa" w:w="60"/>
              <w:left w:type="dxa" w:w="100"/>
              <w:bottom w:type="dxa" w:w="60"/>
              <w:right w:type="dxa" w:w="100"/>
            </w:tcMar>
            <w:vAlign w:val="center"/>
          </w:tcPr>
          <w:p>
            <w:pPr>
              <w:spacing w:after="40"/>
            </w:pPr>
            <w:r>
              <w:rPr>
                <w:sz w:val="20"/>
                <w:szCs w:val="20"/>
              </w:rPr>
              <w:t xml:space="preserve">情報通信</w:t>
            </w:r>
          </w:p>
        </w:tc>
        <w:tc>
          <w:tcPr>
            <w:tcW w:type="dxa" w:w="1600"/>
            <w:shd w:fill="FFFFFF" w:val="clear"/>
            <w:tcMar>
              <w:top w:type="dxa" w:w="60"/>
              <w:left w:type="dxa" w:w="100"/>
              <w:bottom w:type="dxa" w:w="60"/>
              <w:right w:type="dxa" w:w="100"/>
            </w:tcMar>
            <w:vAlign w:val="center"/>
          </w:tcPr>
          <w:p>
            <w:pPr>
              <w:spacing w:after="40"/>
            </w:pPr>
            <w:r>
              <w:rPr>
                <w:sz w:val="20"/>
                <w:szCs w:val="20"/>
              </w:rPr>
              <w:t xml:space="preserve">27.4%</w:t>
            </w:r>
          </w:p>
        </w:tc>
        <w:tc>
          <w:tcPr>
            <w:tcW w:type="dxa" w:w="4900"/>
            <w:shd w:fill="FFFFFF" w:val="clear"/>
            <w:tcMar>
              <w:top w:type="dxa" w:w="60"/>
              <w:left w:type="dxa" w:w="100"/>
              <w:bottom w:type="dxa" w:w="60"/>
              <w:right w:type="dxa" w:w="100"/>
            </w:tcMar>
            <w:vAlign w:val="center"/>
          </w:tcPr>
          <w:p>
            <w:pPr>
              <w:spacing w:after="40"/>
            </w:pPr>
            <w:r>
              <w:rPr>
                <w:sz w:val="20"/>
                <w:szCs w:val="20"/>
              </w:rPr>
              <w:t xml:space="preserve">携帯キャリア、通信事業者、放送、インターネットサービスプロバイダ　など</w:t>
            </w:r>
          </w:p>
        </w:tc>
      </w:tr>
      <w:tr>
        <w:tc>
          <w:tcPr>
            <w:tcW w:type="dxa" w:w="3100"/>
            <w:shd w:fill="EAF1F8" w:val="clear"/>
            <w:tcMar>
              <w:top w:type="dxa" w:w="60"/>
              <w:left w:type="dxa" w:w="100"/>
              <w:bottom w:type="dxa" w:w="60"/>
              <w:right w:type="dxa" w:w="100"/>
            </w:tcMar>
            <w:vAlign w:val="center"/>
          </w:tcPr>
          <w:p>
            <w:pPr>
              <w:spacing w:after="40"/>
            </w:pPr>
            <w:r>
              <w:rPr>
                <w:sz w:val="20"/>
                <w:szCs w:val="20"/>
              </w:rPr>
              <w:t xml:space="preserve">情報・サービス</w:t>
            </w:r>
          </w:p>
        </w:tc>
        <w:tc>
          <w:tcPr>
            <w:tcW w:type="dxa" w:w="1600"/>
            <w:shd w:fill="EAF1F8" w:val="clear"/>
            <w:tcMar>
              <w:top w:type="dxa" w:w="60"/>
              <w:left w:type="dxa" w:w="100"/>
              <w:bottom w:type="dxa" w:w="60"/>
              <w:right w:type="dxa" w:w="100"/>
            </w:tcMar>
            <w:vAlign w:val="center"/>
          </w:tcPr>
          <w:p>
            <w:pPr>
              <w:spacing w:after="40"/>
            </w:pPr>
            <w:r>
              <w:rPr>
                <w:sz w:val="20"/>
                <w:szCs w:val="20"/>
              </w:rPr>
              <w:t xml:space="preserve">15.8%</w:t>
            </w:r>
          </w:p>
        </w:tc>
        <w:tc>
          <w:tcPr>
            <w:tcW w:type="dxa" w:w="4900"/>
            <w:shd w:fill="EAF1F8" w:val="clear"/>
            <w:tcMar>
              <w:top w:type="dxa" w:w="60"/>
              <w:left w:type="dxa" w:w="100"/>
              <w:bottom w:type="dxa" w:w="60"/>
              <w:right w:type="dxa" w:w="100"/>
            </w:tcMar>
            <w:vAlign w:val="center"/>
          </w:tcPr>
          <w:p>
            <w:pPr>
              <w:spacing w:after="40"/>
            </w:pPr>
            <w:r>
              <w:rPr>
                <w:sz w:val="20"/>
                <w:szCs w:val="20"/>
              </w:rPr>
              <w:t xml:space="preserve">インターネット広告、情報・通信業、サービス業　など</w:t>
            </w:r>
          </w:p>
        </w:tc>
      </w:tr>
      <w:tr>
        <w:tc>
          <w:tcPr>
            <w:tcW w:type="dxa" w:w="3100"/>
            <w:shd w:fill="FFFFFF" w:val="clear"/>
            <w:tcMar>
              <w:top w:type="dxa" w:w="60"/>
              <w:left w:type="dxa" w:w="100"/>
              <w:bottom w:type="dxa" w:w="60"/>
              <w:right w:type="dxa" w:w="100"/>
            </w:tcMar>
            <w:vAlign w:val="center"/>
          </w:tcPr>
          <w:p>
            <w:pPr>
              <w:spacing w:after="40"/>
            </w:pPr>
            <w:r>
              <w:rPr>
                <w:sz w:val="20"/>
                <w:szCs w:val="20"/>
              </w:rPr>
              <w:t xml:space="preserve">製造・建設</w:t>
            </w:r>
          </w:p>
        </w:tc>
        <w:tc>
          <w:tcPr>
            <w:tcW w:type="dxa" w:w="1600"/>
            <w:shd w:fill="FFFFFF" w:val="clear"/>
            <w:tcMar>
              <w:top w:type="dxa" w:w="60"/>
              <w:left w:type="dxa" w:w="100"/>
              <w:bottom w:type="dxa" w:w="60"/>
              <w:right w:type="dxa" w:w="100"/>
            </w:tcMar>
            <w:vAlign w:val="center"/>
          </w:tcPr>
          <w:p>
            <w:pPr>
              <w:spacing w:after="40"/>
            </w:pPr>
            <w:r>
              <w:rPr>
                <w:sz w:val="20"/>
                <w:szCs w:val="20"/>
              </w:rPr>
              <w:t xml:space="preserve">14.3%</w:t>
            </w:r>
          </w:p>
        </w:tc>
        <w:tc>
          <w:tcPr>
            <w:tcW w:type="dxa" w:w="4900"/>
            <w:shd w:fill="FFFFFF" w:val="clear"/>
            <w:tcMar>
              <w:top w:type="dxa" w:w="60"/>
              <w:left w:type="dxa" w:w="100"/>
              <w:bottom w:type="dxa" w:w="60"/>
              <w:right w:type="dxa" w:w="100"/>
            </w:tcMar>
            <w:vAlign w:val="center"/>
          </w:tcPr>
          <w:p>
            <w:pPr>
              <w:spacing w:after="40"/>
            </w:pPr>
            <w:r>
              <w:rPr>
                <w:sz w:val="20"/>
                <w:szCs w:val="20"/>
              </w:rPr>
              <w:t xml:space="preserve">石油・石化製品、自動車、電機機器、建設業、医薬品　など</w:t>
            </w:r>
          </w:p>
        </w:tc>
      </w:tr>
      <w:tr>
        <w:tc>
          <w:tcPr>
            <w:tcW w:type="dxa" w:w="3100"/>
            <w:shd w:fill="EAF1F8" w:val="clear"/>
            <w:tcMar>
              <w:top w:type="dxa" w:w="60"/>
              <w:left w:type="dxa" w:w="100"/>
              <w:bottom w:type="dxa" w:w="60"/>
              <w:right w:type="dxa" w:w="100"/>
            </w:tcMar>
            <w:vAlign w:val="center"/>
          </w:tcPr>
          <w:p>
            <w:pPr>
              <w:spacing w:after="40"/>
            </w:pPr>
            <w:r>
              <w:rPr>
                <w:sz w:val="20"/>
                <w:szCs w:val="20"/>
              </w:rPr>
              <w:t xml:space="preserve">金融・保険・不動産・物品賃貸</w:t>
            </w:r>
          </w:p>
        </w:tc>
        <w:tc>
          <w:tcPr>
            <w:tcW w:type="dxa" w:w="1600"/>
            <w:shd w:fill="EAF1F8" w:val="clear"/>
            <w:tcMar>
              <w:top w:type="dxa" w:w="60"/>
              <w:left w:type="dxa" w:w="100"/>
              <w:bottom w:type="dxa" w:w="60"/>
              <w:right w:type="dxa" w:w="100"/>
            </w:tcMar>
            <w:vAlign w:val="center"/>
          </w:tcPr>
          <w:p>
            <w:pPr>
              <w:spacing w:after="40"/>
            </w:pPr>
            <w:r>
              <w:rPr>
                <w:sz w:val="20"/>
                <w:szCs w:val="20"/>
              </w:rPr>
              <w:t xml:space="preserve">11.0%</w:t>
            </w:r>
          </w:p>
        </w:tc>
        <w:tc>
          <w:tcPr>
            <w:tcW w:type="dxa" w:w="4900"/>
            <w:shd w:fill="EAF1F8" w:val="clear"/>
            <w:tcMar>
              <w:top w:type="dxa" w:w="60"/>
              <w:left w:type="dxa" w:w="100"/>
              <w:bottom w:type="dxa" w:w="60"/>
              <w:right w:type="dxa" w:w="100"/>
            </w:tcMar>
            <w:vAlign w:val="center"/>
          </w:tcPr>
          <w:p>
            <w:pPr>
              <w:spacing w:after="40"/>
            </w:pPr>
            <w:r>
              <w:rPr>
                <w:sz w:val="20"/>
                <w:szCs w:val="20"/>
              </w:rPr>
              <w:t xml:space="preserve">メガバンク、政府系金融機関、クレジット、保険、証券、ネット銀行　など</w:t>
            </w:r>
          </w:p>
        </w:tc>
      </w:tr>
      <w:tr>
        <w:tc>
          <w:tcPr>
            <w:tcW w:type="dxa" w:w="3100"/>
            <w:shd w:fill="FFFFFF" w:val="clear"/>
            <w:tcMar>
              <w:top w:type="dxa" w:w="60"/>
              <w:left w:type="dxa" w:w="100"/>
              <w:bottom w:type="dxa" w:w="60"/>
              <w:right w:type="dxa" w:w="100"/>
            </w:tcMar>
            <w:vAlign w:val="center"/>
          </w:tcPr>
          <w:p>
            <w:pPr>
              <w:spacing w:after="40"/>
            </w:pPr>
            <w:r>
              <w:rPr>
                <w:sz w:val="20"/>
                <w:szCs w:val="20"/>
              </w:rPr>
              <w:t xml:space="preserve">卸売・小売・運輸</w:t>
            </w:r>
          </w:p>
        </w:tc>
        <w:tc>
          <w:tcPr>
            <w:tcW w:type="dxa" w:w="1600"/>
            <w:shd w:fill="FFFFFF" w:val="clear"/>
            <w:tcMar>
              <w:top w:type="dxa" w:w="60"/>
              <w:left w:type="dxa" w:w="100"/>
              <w:bottom w:type="dxa" w:w="60"/>
              <w:right w:type="dxa" w:w="100"/>
            </w:tcMar>
            <w:vAlign w:val="center"/>
          </w:tcPr>
          <w:p>
            <w:pPr>
              <w:spacing w:after="40"/>
            </w:pPr>
            <w:r>
              <w:rPr>
                <w:sz w:val="20"/>
                <w:szCs w:val="20"/>
              </w:rPr>
              <w:t xml:space="preserve">8.5%</w:t>
            </w:r>
          </w:p>
        </w:tc>
        <w:tc>
          <w:tcPr>
            <w:tcW w:type="dxa" w:w="4900"/>
            <w:shd w:fill="FFFFFF" w:val="clear"/>
            <w:tcMar>
              <w:top w:type="dxa" w:w="60"/>
              <w:left w:type="dxa" w:w="100"/>
              <w:bottom w:type="dxa" w:w="60"/>
              <w:right w:type="dxa" w:w="100"/>
            </w:tcMar>
            <w:vAlign w:val="center"/>
          </w:tcPr>
          <w:p>
            <w:pPr>
              <w:spacing w:after="40"/>
            </w:pPr>
            <w:r>
              <w:rPr>
                <w:sz w:val="20"/>
                <w:szCs w:val="20"/>
              </w:rPr>
              <w:t xml:space="preserve">航空、運輸、物流、コンビニエンスストア、総合商社　など</w:t>
            </w:r>
          </w:p>
        </w:tc>
      </w:tr>
      <w:tr>
        <w:tc>
          <w:tcPr>
            <w:tcW w:type="dxa" w:w="3100"/>
            <w:shd w:fill="EAF1F8" w:val="clear"/>
            <w:tcMar>
              <w:top w:type="dxa" w:w="60"/>
              <w:left w:type="dxa" w:w="100"/>
              <w:bottom w:type="dxa" w:w="60"/>
              <w:right w:type="dxa" w:w="100"/>
            </w:tcMar>
            <w:vAlign w:val="center"/>
          </w:tcPr>
          <w:p>
            <w:pPr>
              <w:spacing w:after="40"/>
            </w:pPr>
            <w:r>
              <w:rPr>
                <w:sz w:val="20"/>
                <w:szCs w:val="20"/>
              </w:rPr>
              <w:t xml:space="preserve">官公庁・自治体・電気・ガス</w:t>
            </w:r>
          </w:p>
        </w:tc>
        <w:tc>
          <w:tcPr>
            <w:tcW w:type="dxa" w:w="1600"/>
            <w:shd w:fill="EAF1F8" w:val="clear"/>
            <w:tcMar>
              <w:top w:type="dxa" w:w="60"/>
              <w:left w:type="dxa" w:w="100"/>
              <w:bottom w:type="dxa" w:w="60"/>
              <w:right w:type="dxa" w:w="100"/>
            </w:tcMar>
            <w:vAlign w:val="center"/>
          </w:tcPr>
          <w:p>
            <w:pPr>
              <w:spacing w:after="40"/>
            </w:pPr>
            <w:r>
              <w:rPr>
                <w:sz w:val="20"/>
                <w:szCs w:val="20"/>
              </w:rPr>
              <w:t xml:space="preserve">5.6%</w:t>
            </w:r>
          </w:p>
        </w:tc>
        <w:tc>
          <w:tcPr>
            <w:tcW w:type="dxa" w:w="4900"/>
            <w:shd w:fill="EAF1F8" w:val="clear"/>
            <w:tcMar>
              <w:top w:type="dxa" w:w="60"/>
              <w:left w:type="dxa" w:w="100"/>
              <w:bottom w:type="dxa" w:w="60"/>
              <w:right w:type="dxa" w:w="100"/>
            </w:tcMar>
            <w:vAlign w:val="center"/>
          </w:tcPr>
          <w:p>
            <w:pPr>
              <w:spacing w:after="40"/>
            </w:pPr>
            <w:r>
              <w:rPr>
                <w:sz w:val="20"/>
                <w:szCs w:val="20"/>
              </w:rPr>
              <w:t xml:space="preserve">中央官庁、自治体、教育関連機関、電力　など</w:t>
            </w:r>
          </w:p>
        </w:tc>
      </w:tr>
      <w:tr>
        <w:tc>
          <w:tcPr>
            <w:tcW w:type="dxa" w:w="3100"/>
            <w:shd w:fill="FFFFFF" w:val="clear"/>
            <w:tcMar>
              <w:top w:type="dxa" w:w="60"/>
              <w:left w:type="dxa" w:w="100"/>
              <w:bottom w:type="dxa" w:w="60"/>
              <w:right w:type="dxa" w:w="100"/>
            </w:tcMar>
            <w:vAlign w:val="center"/>
          </w:tcPr>
          <w:p>
            <w:pPr>
              <w:spacing w:after="40"/>
            </w:pPr>
            <w:r>
              <w:rPr>
                <w:sz w:val="20"/>
                <w:szCs w:val="20"/>
              </w:rPr>
              <w:t xml:space="preserve">海外</w:t>
            </w:r>
          </w:p>
        </w:tc>
        <w:tc>
          <w:tcPr>
            <w:tcW w:type="dxa" w:w="1600"/>
            <w:shd w:fill="FFFFFF" w:val="clear"/>
            <w:tcMar>
              <w:top w:type="dxa" w:w="60"/>
              <w:left w:type="dxa" w:w="100"/>
              <w:bottom w:type="dxa" w:w="60"/>
              <w:right w:type="dxa" w:w="100"/>
            </w:tcMar>
            <w:vAlign w:val="center"/>
          </w:tcPr>
          <w:p>
            <w:pPr>
              <w:spacing w:after="40"/>
            </w:pPr>
            <w:r>
              <w:rPr>
                <w:sz w:val="20"/>
                <w:szCs w:val="20"/>
              </w:rPr>
              <w:t xml:space="preserve">9.9%</w:t>
            </w:r>
          </w:p>
        </w:tc>
        <w:tc>
          <w:tcPr>
            <w:tcW w:type="dxa" w:w="4900"/>
            <w:shd w:fill="FFFFFF" w:val="clear"/>
            <w:tcMar>
              <w:top w:type="dxa" w:w="60"/>
              <w:left w:type="dxa" w:w="100"/>
              <w:bottom w:type="dxa" w:w="60"/>
              <w:right w:type="dxa" w:w="100"/>
            </w:tcMar>
            <w:vAlign w:val="center"/>
          </w:tcPr>
          <w:p>
            <w:pPr>
              <w:spacing w:after="40"/>
            </w:pPr>
            <w:r>
              <w:rPr>
                <w:sz w:val="20"/>
                <w:szCs w:val="20"/>
              </w:rPr>
              <w:t xml:space="preserve">海外現地法人・海外向け事業</w:t>
            </w:r>
          </w:p>
        </w:tc>
      </w:tr>
      <w:tr>
        <w:tc>
          <w:tcPr>
            <w:tcW w:type="dxa" w:w="3100"/>
            <w:shd w:fill="EAF1F8" w:val="clear"/>
            <w:tcMar>
              <w:top w:type="dxa" w:w="60"/>
              <w:left w:type="dxa" w:w="100"/>
              <w:bottom w:type="dxa" w:w="60"/>
              <w:right w:type="dxa" w:w="100"/>
            </w:tcMar>
            <w:vAlign w:val="center"/>
          </w:tcPr>
          <w:p>
            <w:pPr>
              <w:spacing w:after="40"/>
            </w:pPr>
            <w:r>
              <w:rPr>
                <w:sz w:val="20"/>
                <w:szCs w:val="20"/>
              </w:rPr>
              <w:t xml:space="preserve">その他</w:t>
            </w:r>
          </w:p>
        </w:tc>
        <w:tc>
          <w:tcPr>
            <w:tcW w:type="dxa" w:w="1600"/>
            <w:shd w:fill="EAF1F8" w:val="clear"/>
            <w:tcMar>
              <w:top w:type="dxa" w:w="60"/>
              <w:left w:type="dxa" w:w="100"/>
              <w:bottom w:type="dxa" w:w="60"/>
              <w:right w:type="dxa" w:w="100"/>
            </w:tcMar>
            <w:vAlign w:val="center"/>
          </w:tcPr>
          <w:p>
            <w:pPr>
              <w:spacing w:after="40"/>
            </w:pPr>
            <w:r>
              <w:rPr>
                <w:sz w:val="20"/>
                <w:szCs w:val="20"/>
              </w:rPr>
              <w:t xml:space="preserve">7.5%</w:t>
            </w:r>
          </w:p>
        </w:tc>
        <w:tc>
          <w:tcPr>
            <w:tcW w:type="dxa" w:w="4900"/>
            <w:shd w:fill="EAF1F8" w:val="clear"/>
            <w:tcMar>
              <w:top w:type="dxa" w:w="60"/>
              <w:left w:type="dxa" w:w="100"/>
              <w:bottom w:type="dxa" w:w="60"/>
              <w:right w:type="dxa" w:w="100"/>
            </w:tcMar>
            <w:vAlign w:val="center"/>
          </w:tcPr>
          <w:p>
            <w:pPr>
              <w:spacing w:after="40"/>
            </w:pPr>
            <w:r>
              <w:rPr>
                <w:sz w:val="20"/>
                <w:szCs w:val="20"/>
              </w:rPr>
              <w:t xml:space="preserve">―</w:t>
            </w:r>
          </w:p>
        </w:tc>
      </w:tr>
    </w:tbl>
    <w:p>
      <w:pPr>
        <w:pStyle w:val="Heading1"/>
        <w:pBdr>
          <w:bottom w:val="single" w:color="0B3B6B" w:sz="8" w:space="4"/>
        </w:pBdr>
        <w:spacing w:after="200" w:before="400"/>
      </w:pPr>
      <w:r>
        <w:rPr>
          <w:b/>
          <w:bCs/>
          <w:color w:val="0B3B6B"/>
          <w:sz w:val="30"/>
          <w:szCs w:val="30"/>
        </w:rPr>
        <w:t xml:space="preserve">7. 強み・差別化ポイント</w:t>
      </w:r>
    </w:p>
    <w:p>
      <w:pPr>
        <w:spacing w:after="120" w:line="300"/>
      </w:pPr>
      <w:r>
        <w:rPr>
          <w:sz w:val="21"/>
          <w:szCs w:val="21"/>
        </w:rPr>
        <w:t xml:space="preserve">面接・ES等で「CTCならではの強み」を語る際に使えるポイントを整理する。</w:t>
      </w:r>
    </w:p>
    <w:p>
      <w:pPr>
        <w:pStyle w:val="ListParagraph"/>
        <w:numPr>
          <w:ilvl w:val="0"/>
          <w:numId w:val="2"/>
        </w:numPr>
        <w:spacing w:after="80" w:line="280"/>
      </w:pPr>
      <w:r>
        <w:rPr>
          <w:sz w:val="21"/>
          <w:szCs w:val="21"/>
        </w:rPr>
        <w:t xml:space="preserve">独立系マルチベンダーSIerとしての中立的な提案力：メーカー系・外資系ITベンダー系列に属さず、300社を超えるグローバルパートナー（世界屈指のIT企業群）の最先端テクノロジーをいち早く"掘り起こし"、日本の顧客環境に合わせて"組み合わせ"、"仕立て"、"実装する"という一連のサイクルを高いレベルで実行できる点が競合との差別化要因（新宮社長メッセージより）</w:t>
      </w:r>
    </w:p>
    <w:p>
      <w:pPr>
        <w:pStyle w:val="ListParagraph"/>
        <w:numPr>
          <w:ilvl w:val="0"/>
          <w:numId w:val="2"/>
        </w:numPr>
        <w:spacing w:after="80" w:line="280"/>
      </w:pPr>
      <w:r>
        <w:rPr>
          <w:sz w:val="21"/>
          <w:szCs w:val="21"/>
        </w:rPr>
        <w:t xml:space="preserve">半世紀以上にわたる幅広い業界での実績と信頼：情報通信・製造・金融・官公庁・社会インフラなど6,000社超の顧客基盤を持ち、業種ごとに特化した5つの事業グループを組織。業界知見と技術力を掛け合わせたソリューション提案が可能</w:t>
      </w:r>
    </w:p>
    <w:p>
      <w:pPr>
        <w:pStyle w:val="ListParagraph"/>
        <w:numPr>
          <w:ilvl w:val="0"/>
          <w:numId w:val="2"/>
        </w:numPr>
        <w:spacing w:after="80" w:line="280"/>
      </w:pPr>
      <w:r>
        <w:rPr>
          <w:sz w:val="21"/>
          <w:szCs w:val="21"/>
        </w:rPr>
        <w:t xml:space="preserve">シリコンバレー30年以上のR&amp;D実績：米国拠点（1990年設立）を通じて先進技術をいち早く発掘・検証し、日本市場への展開につなげるグローバルな技術アンテナを保有</w:t>
      </w:r>
    </w:p>
    <w:p>
      <w:pPr>
        <w:pStyle w:val="ListParagraph"/>
        <w:numPr>
          <w:ilvl w:val="0"/>
          <w:numId w:val="2"/>
        </w:numPr>
        <w:spacing w:after="80" w:line="280"/>
      </w:pPr>
      <w:r>
        <w:rPr>
          <w:sz w:val="21"/>
          <w:szCs w:val="21"/>
        </w:rPr>
        <w:t xml:space="preserve">エンジニア比率の高さと技術力：CTCグループ従業員約12,200名の71%（約8,600名）がエンジニア。コンサルティングから設計・構築・開発・運用保守までITライフサイクル全体をワンストップで支援できる体制</w:t>
      </w:r>
    </w:p>
    <w:p>
      <w:pPr>
        <w:pStyle w:val="ListParagraph"/>
        <w:numPr>
          <w:ilvl w:val="0"/>
          <w:numId w:val="2"/>
        </w:numPr>
        <w:spacing w:after="80" w:line="280"/>
      </w:pPr>
      <w:r>
        <w:rPr>
          <w:sz w:val="21"/>
          <w:szCs w:val="21"/>
        </w:rPr>
        <w:t xml:space="preserve">科学・工学系ITサービスという独自領域：SIer業界には珍しい科学・工学系分野に特化した部門（科学システム本部）を持ち、資源・エネルギー、原子力・プラントなど社会インフラを支える専門性の高い分野で存在感を発揮</w:t>
      </w:r>
    </w:p>
    <w:p>
      <w:pPr>
        <w:pStyle w:val="ListParagraph"/>
        <w:numPr>
          <w:ilvl w:val="0"/>
          <w:numId w:val="2"/>
        </w:numPr>
        <w:spacing w:after="80" w:line="280"/>
      </w:pPr>
      <w:r>
        <w:rPr>
          <w:sz w:val="21"/>
          <w:szCs w:val="21"/>
        </w:rPr>
        <w:t xml:space="preserve">伊藤忠グループとの一体化によるシナジー：伊藤忠グループが持つ全方位の産業分野にわたる知見とコネクション、サプライチェーン構築力、国内外ネットワークを活かし、より大型のプロジェクト・グループ横断ソリューション提案が可能に（伊藤忠デジタルバリューチェーンの中核企業として、CIO-Partnersサービス等で伊藤忠デジタル事業群と連携）</w:t>
      </w:r>
    </w:p>
    <w:p>
      <w:pPr>
        <w:pStyle w:val="ListParagraph"/>
        <w:numPr>
          <w:ilvl w:val="0"/>
          <w:numId w:val="2"/>
        </w:numPr>
        <w:spacing w:after="80" w:line="280"/>
      </w:pPr>
      <w:r>
        <w:rPr>
          <w:sz w:val="21"/>
          <w:szCs w:val="21"/>
        </w:rPr>
        <w:t xml:space="preserve">挑戦を後押しする自由な社風：社内公募制度、Dojo（部署横断のナレッジ共有コミュニティ）、メンター制度など、若手・キャリア入社を問わず挑戦と成長を後押しする制度・文化を整備（社員インタビューより）</w:t>
      </w:r>
    </w:p>
    <w:p>
      <w:pPr>
        <w:pStyle w:val="Heading1"/>
        <w:pBdr>
          <w:bottom w:val="single" w:color="0B3B6B" w:sz="8" w:space="4"/>
        </w:pBdr>
        <w:spacing w:after="200" w:before="400"/>
      </w:pPr>
      <w:r>
        <w:rPr>
          <w:b/>
          <w:bCs/>
          <w:color w:val="0B3B6B"/>
          <w:sz w:val="30"/>
          <w:szCs w:val="30"/>
        </w:rPr>
        <w:t xml:space="preserve">8. 直近の技術トピックス（CTC UPDATE）</w:t>
      </w:r>
    </w:p>
    <w:p>
      <w:pPr>
        <w:spacing w:after="120" w:line="300"/>
      </w:pPr>
      <w:r>
        <w:rPr>
          <w:sz w:val="21"/>
          <w:szCs w:val="21"/>
        </w:rPr>
        <w:t xml:space="preserve">CTCは「高度AI」「データ＆アナリティクス」「クラウドネイティブ」「セキュリティ」の4領域をKey Technologyと位置づけ、相互に組み合わせることで新たな価値創出に取り組んでいる。Corporate Book Vol.18で紹介された最前線の取り組み。</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700"/>
      </w:tblGrid>
      <w:tr>
        <w:trPr>
          <w:tblHeader/>
        </w:trPr>
        <w:tc>
          <w:tcPr>
            <w:tcW w:type="dxa" w:w="2000"/>
            <w:shd w:fill="0B3B6B" w:val="clear"/>
            <w:tcMar>
              <w:top w:type="dxa" w:w="60"/>
              <w:left w:type="dxa" w:w="100"/>
              <w:bottom w:type="dxa" w:w="60"/>
              <w:right w:type="dxa" w:w="100"/>
            </w:tcMar>
            <w:vAlign w:val="center"/>
          </w:tcPr>
          <w:p>
            <w:r>
              <w:rPr>
                <w:b/>
                <w:bCs/>
                <w:color w:val="FFFFFF"/>
                <w:sz w:val="20"/>
                <w:szCs w:val="20"/>
              </w:rPr>
              <w:t xml:space="preserve">領域</w:t>
            </w:r>
          </w:p>
        </w:tc>
        <w:tc>
          <w:tcPr>
            <w:tcW w:type="dxa" w:w="3200"/>
            <w:shd w:fill="0B3B6B" w:val="clear"/>
            <w:tcMar>
              <w:top w:type="dxa" w:w="60"/>
              <w:left w:type="dxa" w:w="100"/>
              <w:bottom w:type="dxa" w:w="60"/>
              <w:right w:type="dxa" w:w="100"/>
            </w:tcMar>
            <w:vAlign w:val="center"/>
          </w:tcPr>
          <w:p>
            <w:r>
              <w:rPr>
                <w:b/>
                <w:bCs/>
                <w:color w:val="FFFFFF"/>
                <w:sz w:val="20"/>
                <w:szCs w:val="20"/>
              </w:rPr>
              <w:t xml:space="preserve">取り組み</w:t>
            </w:r>
          </w:p>
        </w:tc>
        <w:tc>
          <w:tcPr>
            <w:tcW w:type="dxa" w:w="4700"/>
            <w:shd w:fill="0B3B6B" w:val="clear"/>
            <w:tcMar>
              <w:top w:type="dxa" w:w="60"/>
              <w:left w:type="dxa" w:w="100"/>
              <w:bottom w:type="dxa" w:w="60"/>
              <w:right w:type="dxa" w:w="100"/>
            </w:tcMar>
            <w:vAlign w:val="center"/>
          </w:tcPr>
          <w:p>
            <w:r>
              <w:rPr>
                <w:b/>
                <w:bCs/>
                <w:color w:val="FFFFFF"/>
                <w:sz w:val="20"/>
                <w:szCs w:val="20"/>
              </w:rPr>
              <w:t xml:space="preserve">概要</w:t>
            </w:r>
          </w:p>
        </w:tc>
      </w:tr>
      <w:tr>
        <w:tc>
          <w:tcPr>
            <w:tcW w:type="dxa" w:w="2000"/>
            <w:shd w:fill="FFFFFF" w:val="clear"/>
            <w:tcMar>
              <w:top w:type="dxa" w:w="60"/>
              <w:left w:type="dxa" w:w="100"/>
              <w:bottom w:type="dxa" w:w="60"/>
              <w:right w:type="dxa" w:w="100"/>
            </w:tcMar>
            <w:vAlign w:val="center"/>
          </w:tcPr>
          <w:p>
            <w:pPr>
              <w:spacing w:after="40"/>
            </w:pPr>
            <w:r>
              <w:rPr>
                <w:sz w:val="20"/>
                <w:szCs w:val="20"/>
              </w:rPr>
              <w:t xml:space="preserve">クラウドネイティブ</w:t>
            </w:r>
          </w:p>
        </w:tc>
        <w:tc>
          <w:tcPr>
            <w:tcW w:type="dxa" w:w="3200"/>
            <w:shd w:fill="FFFFFF" w:val="clear"/>
            <w:tcMar>
              <w:top w:type="dxa" w:w="60"/>
              <w:left w:type="dxa" w:w="100"/>
              <w:bottom w:type="dxa" w:w="60"/>
              <w:right w:type="dxa" w:w="100"/>
            </w:tcMar>
            <w:vAlign w:val="center"/>
          </w:tcPr>
          <w:p>
            <w:pPr>
              <w:spacing w:after="40"/>
            </w:pPr>
            <w:r>
              <w:rPr>
                <w:sz w:val="20"/>
                <w:szCs w:val="20"/>
              </w:rPr>
              <w:t xml:space="preserve">クラウドサービス「StageCrew™」を北米で展開</w:t>
            </w:r>
          </w:p>
        </w:tc>
        <w:tc>
          <w:tcPr>
            <w:tcW w:type="dxa" w:w="4700"/>
            <w:shd w:fill="FFFFFF" w:val="clear"/>
            <w:tcMar>
              <w:top w:type="dxa" w:w="60"/>
              <w:left w:type="dxa" w:w="100"/>
              <w:bottom w:type="dxa" w:w="60"/>
              <w:right w:type="dxa" w:w="100"/>
            </w:tcMar>
            <w:vAlign w:val="center"/>
          </w:tcPr>
          <w:p>
            <w:pPr>
              <w:spacing w:after="40"/>
            </w:pPr>
            <w:r>
              <w:rPr>
                <w:sz w:val="20"/>
                <w:szCs w:val="20"/>
              </w:rPr>
              <w:t xml:space="preserve">「個の知見を、AIで組織の標準装備に」を掲げ、システム開発・運用・業務オペレーションを効率化するクラウドサービス。米国Technologent社にライセンスを供与しSaaS形式で展開。AI駆動分析・AI駆動ドキュメンテーションにより、インシデント対応時間を85%削減、マニュアル作成時間を30〜50%削減する効果を実証</w:t>
            </w:r>
          </w:p>
        </w:tc>
      </w:tr>
      <w:tr>
        <w:tc>
          <w:tcPr>
            <w:tcW w:type="dxa" w:w="2000"/>
            <w:shd w:fill="EAF1F8" w:val="clear"/>
            <w:tcMar>
              <w:top w:type="dxa" w:w="60"/>
              <w:left w:type="dxa" w:w="100"/>
              <w:bottom w:type="dxa" w:w="60"/>
              <w:right w:type="dxa" w:w="100"/>
            </w:tcMar>
            <w:vAlign w:val="center"/>
          </w:tcPr>
          <w:p>
            <w:pPr>
              <w:spacing w:after="40"/>
            </w:pPr>
            <w:r>
              <w:rPr>
                <w:sz w:val="20"/>
                <w:szCs w:val="20"/>
              </w:rPr>
              <w:t xml:space="preserve">高度AI</w:t>
            </w:r>
          </w:p>
        </w:tc>
        <w:tc>
          <w:tcPr>
            <w:tcW w:type="dxa" w:w="3200"/>
            <w:shd w:fill="EAF1F8" w:val="clear"/>
            <w:tcMar>
              <w:top w:type="dxa" w:w="60"/>
              <w:left w:type="dxa" w:w="100"/>
              <w:bottom w:type="dxa" w:w="60"/>
              <w:right w:type="dxa" w:w="100"/>
            </w:tcMar>
            <w:vAlign w:val="center"/>
          </w:tcPr>
          <w:p>
            <w:pPr>
              <w:spacing w:after="40"/>
            </w:pPr>
            <w:r>
              <w:rPr>
                <w:sz w:val="20"/>
                <w:szCs w:val="20"/>
              </w:rPr>
              <w:t xml:space="preserve">システム開発への生成AI活用（AI駆動開発）に向けた実証実験</w:t>
            </w:r>
          </w:p>
        </w:tc>
        <w:tc>
          <w:tcPr>
            <w:tcW w:type="dxa" w:w="4700"/>
            <w:shd w:fill="EAF1F8" w:val="clear"/>
            <w:tcMar>
              <w:top w:type="dxa" w:w="60"/>
              <w:left w:type="dxa" w:w="100"/>
              <w:bottom w:type="dxa" w:w="60"/>
              <w:right w:type="dxa" w:w="100"/>
            </w:tcMar>
            <w:vAlign w:val="center"/>
          </w:tcPr>
          <w:p>
            <w:pPr>
              <w:spacing w:after="40"/>
            </w:pPr>
            <w:r>
              <w:rPr>
                <w:sz w:val="20"/>
                <w:szCs w:val="20"/>
              </w:rPr>
              <w:t xml:space="preserve">設計・実装・コードレビュー・テストケース設計・バグ修正等の工程を自動化し、その成果をもとに「AI駆動開発ガイドライン」を策定して2025年8月に全社展開。設計・実装工程で人間が1行もコードを書かずに実装を再現する「ゼロタッチ」を実現</w:t>
            </w:r>
          </w:p>
        </w:tc>
      </w:tr>
      <w:tr>
        <w:tc>
          <w:tcPr>
            <w:tcW w:type="dxa" w:w="2000"/>
            <w:shd w:fill="FFFFFF" w:val="clear"/>
            <w:tcMar>
              <w:top w:type="dxa" w:w="60"/>
              <w:left w:type="dxa" w:w="100"/>
              <w:bottom w:type="dxa" w:w="60"/>
              <w:right w:type="dxa" w:w="100"/>
            </w:tcMar>
            <w:vAlign w:val="center"/>
          </w:tcPr>
          <w:p>
            <w:pPr>
              <w:spacing w:after="40"/>
            </w:pPr>
            <w:r>
              <w:rPr>
                <w:sz w:val="20"/>
                <w:szCs w:val="20"/>
              </w:rPr>
              <w:t xml:space="preserve">高度AI</w:t>
            </w:r>
          </w:p>
        </w:tc>
        <w:tc>
          <w:tcPr>
            <w:tcW w:type="dxa" w:w="3200"/>
            <w:shd w:fill="FFFFFF" w:val="clear"/>
            <w:tcMar>
              <w:top w:type="dxa" w:w="60"/>
              <w:left w:type="dxa" w:w="100"/>
              <w:bottom w:type="dxa" w:w="60"/>
              <w:right w:type="dxa" w:w="100"/>
            </w:tcMar>
            <w:vAlign w:val="center"/>
          </w:tcPr>
          <w:p>
            <w:pPr>
              <w:spacing w:after="40"/>
            </w:pPr>
            <w:r>
              <w:rPr>
                <w:sz w:val="20"/>
                <w:szCs w:val="20"/>
              </w:rPr>
              <w:t xml:space="preserve">米国スタートアップ企業（Liquid AI社）との共創</w:t>
            </w:r>
          </w:p>
        </w:tc>
        <w:tc>
          <w:tcPr>
            <w:tcW w:type="dxa" w:w="4700"/>
            <w:shd w:fill="FFFFFF" w:val="clear"/>
            <w:tcMar>
              <w:top w:type="dxa" w:w="60"/>
              <w:left w:type="dxa" w:w="100"/>
              <w:bottom w:type="dxa" w:w="60"/>
              <w:right w:type="dxa" w:w="100"/>
            </w:tcMar>
            <w:vAlign w:val="center"/>
          </w:tcPr>
          <w:p>
            <w:pPr>
              <w:spacing w:after="40"/>
            </w:pPr>
            <w:r>
              <w:rPr>
                <w:sz w:val="20"/>
                <w:szCs w:val="20"/>
              </w:rPr>
              <w:t xml:space="preserve">マサチューセッツ工科大学発のスタートアップLiquid AI, Inc.と協業。同社の独自AIモデル「Liquid Foundation Models」を活用し、日本語対応LLMを共同開発。オンプレミス基盤やエッジデバイス向けの国内市場展開を推進</w:t>
            </w:r>
          </w:p>
        </w:tc>
      </w:tr>
      <w:tr>
        <w:tc>
          <w:tcPr>
            <w:tcW w:type="dxa" w:w="2000"/>
            <w:shd w:fill="EAF1F8" w:val="clear"/>
            <w:tcMar>
              <w:top w:type="dxa" w:w="60"/>
              <w:left w:type="dxa" w:w="100"/>
              <w:bottom w:type="dxa" w:w="60"/>
              <w:right w:type="dxa" w:w="100"/>
            </w:tcMar>
            <w:vAlign w:val="center"/>
          </w:tcPr>
          <w:p>
            <w:pPr>
              <w:spacing w:after="40"/>
            </w:pPr>
            <w:r>
              <w:rPr>
                <w:sz w:val="20"/>
                <w:szCs w:val="20"/>
              </w:rPr>
              <w:t xml:space="preserve">データ＆アナリティクス</w:t>
            </w:r>
          </w:p>
        </w:tc>
        <w:tc>
          <w:tcPr>
            <w:tcW w:type="dxa" w:w="3200"/>
            <w:shd w:fill="EAF1F8" w:val="clear"/>
            <w:tcMar>
              <w:top w:type="dxa" w:w="60"/>
              <w:left w:type="dxa" w:w="100"/>
              <w:bottom w:type="dxa" w:w="60"/>
              <w:right w:type="dxa" w:w="100"/>
            </w:tcMar>
            <w:vAlign w:val="center"/>
          </w:tcPr>
          <w:p>
            <w:pPr>
              <w:spacing w:after="40"/>
            </w:pPr>
            <w:r>
              <w:rPr>
                <w:sz w:val="20"/>
                <w:szCs w:val="20"/>
              </w:rPr>
              <w:t xml:space="preserve">次世代データセンターの液冷ソリューション「cooliquid」提供開始</w:t>
            </w:r>
          </w:p>
        </w:tc>
        <w:tc>
          <w:tcPr>
            <w:tcW w:type="dxa" w:w="4700"/>
            <w:shd w:fill="EAF1F8" w:val="clear"/>
            <w:tcMar>
              <w:top w:type="dxa" w:w="60"/>
              <w:left w:type="dxa" w:w="100"/>
              <w:bottom w:type="dxa" w:w="60"/>
              <w:right w:type="dxa" w:w="100"/>
            </w:tcMar>
            <w:vAlign w:val="center"/>
          </w:tcPr>
          <w:p>
            <w:pPr>
              <w:spacing w:after="40"/>
            </w:pPr>
            <w:r>
              <w:rPr>
                <w:sz w:val="20"/>
                <w:szCs w:val="20"/>
              </w:rPr>
              <w:t xml:space="preserve">AIによる大規模計算処理等のサーバ高熱負荷に対応する次世代冷却技術。データセンターのファシリティ要件策定から設備施工、先端の機器選定・調達、保守・運用までを一貫提供。従来の空冷方式に比べ冷却効率が高く、高熱負荷に対応できる次世代の冷却技術としてDCの環境負荷軽減に貢献</w:t>
            </w:r>
          </w:p>
        </w:tc>
      </w:tr>
      <w:tr>
        <w:tc>
          <w:tcPr>
            <w:tcW w:type="dxa" w:w="2000"/>
            <w:shd w:fill="FFFFFF" w:val="clear"/>
            <w:tcMar>
              <w:top w:type="dxa" w:w="60"/>
              <w:left w:type="dxa" w:w="100"/>
              <w:bottom w:type="dxa" w:w="60"/>
              <w:right w:type="dxa" w:w="100"/>
            </w:tcMar>
            <w:vAlign w:val="center"/>
          </w:tcPr>
          <w:p>
            <w:pPr>
              <w:spacing w:after="40"/>
            </w:pPr>
            <w:r>
              <w:rPr>
                <w:sz w:val="20"/>
                <w:szCs w:val="20"/>
              </w:rPr>
              <w:t xml:space="preserve">セキュリティ</w:t>
            </w:r>
          </w:p>
        </w:tc>
        <w:tc>
          <w:tcPr>
            <w:tcW w:type="dxa" w:w="3200"/>
            <w:shd w:fill="FFFFFF" w:val="clear"/>
            <w:tcMar>
              <w:top w:type="dxa" w:w="60"/>
              <w:left w:type="dxa" w:w="100"/>
              <w:bottom w:type="dxa" w:w="60"/>
              <w:right w:type="dxa" w:w="100"/>
            </w:tcMar>
            <w:vAlign w:val="center"/>
          </w:tcPr>
          <w:p>
            <w:pPr>
              <w:spacing w:after="40"/>
            </w:pPr>
            <w:r>
              <w:rPr>
                <w:sz w:val="20"/>
                <w:szCs w:val="20"/>
              </w:rPr>
              <w:t xml:space="preserve">「サイバーセキュリティ・リサーチ・センター」を開設</w:t>
            </w:r>
          </w:p>
        </w:tc>
        <w:tc>
          <w:tcPr>
            <w:tcW w:type="dxa" w:w="4700"/>
            <w:shd w:fill="FFFFFF" w:val="clear"/>
            <w:tcMar>
              <w:top w:type="dxa" w:w="60"/>
              <w:left w:type="dxa" w:w="100"/>
              <w:bottom w:type="dxa" w:w="60"/>
              <w:right w:type="dxa" w:w="100"/>
            </w:tcMar>
            <w:vAlign w:val="center"/>
          </w:tcPr>
          <w:p>
            <w:pPr>
              <w:spacing w:after="40"/>
            </w:pPr>
            <w:r>
              <w:rPr>
                <w:sz w:val="20"/>
                <w:szCs w:val="20"/>
              </w:rPr>
              <w:t xml:space="preserve">サイバー攻撃の脅威動向や最新の対策技術の調査・分析を行う専門組織。国内外の最新セキュリティ動向を迅速に収集・分析し、レポートやセミナーを通じて社会に公開。得られた知見をセキュリティサービスの高度化やセキュリティ製品の提案力強化にも活用</w:t>
            </w:r>
          </w:p>
        </w:tc>
      </w:tr>
      <w:tr>
        <w:tc>
          <w:tcPr>
            <w:tcW w:type="dxa" w:w="2000"/>
            <w:shd w:fill="EAF1F8" w:val="clear"/>
            <w:tcMar>
              <w:top w:type="dxa" w:w="60"/>
              <w:left w:type="dxa" w:w="100"/>
              <w:bottom w:type="dxa" w:w="60"/>
              <w:right w:type="dxa" w:w="100"/>
            </w:tcMar>
            <w:vAlign w:val="center"/>
          </w:tcPr>
          <w:p>
            <w:pPr>
              <w:spacing w:after="40"/>
            </w:pPr>
            <w:r>
              <w:rPr>
                <w:sz w:val="20"/>
                <w:szCs w:val="20"/>
              </w:rPr>
              <w:t xml:space="preserve">伊藤忠デジタル事業群</w:t>
            </w:r>
          </w:p>
        </w:tc>
        <w:tc>
          <w:tcPr>
            <w:tcW w:type="dxa" w:w="3200"/>
            <w:shd w:fill="EAF1F8" w:val="clear"/>
            <w:tcMar>
              <w:top w:type="dxa" w:w="60"/>
              <w:left w:type="dxa" w:w="100"/>
              <w:bottom w:type="dxa" w:w="60"/>
              <w:right w:type="dxa" w:w="100"/>
            </w:tcMar>
            <w:vAlign w:val="center"/>
          </w:tcPr>
          <w:p>
            <w:pPr>
              <w:spacing w:after="40"/>
            </w:pPr>
            <w:r>
              <w:rPr>
                <w:sz w:val="20"/>
                <w:szCs w:val="20"/>
              </w:rPr>
              <w:t xml:space="preserve">企業のCIOを包括的に支援する「CIO-Partnersサービス」を提供</w:t>
            </w:r>
          </w:p>
        </w:tc>
        <w:tc>
          <w:tcPr>
            <w:tcW w:type="dxa" w:w="4700"/>
            <w:shd w:fill="EAF1F8" w:val="clear"/>
            <w:tcMar>
              <w:top w:type="dxa" w:w="60"/>
              <w:left w:type="dxa" w:w="100"/>
              <w:bottom w:type="dxa" w:w="60"/>
              <w:right w:type="dxa" w:w="100"/>
            </w:tcMar>
            <w:vAlign w:val="center"/>
          </w:tcPr>
          <w:p>
            <w:pPr>
              <w:spacing w:after="40"/>
            </w:pPr>
            <w:r>
              <w:rPr>
                <w:sz w:val="20"/>
                <w:szCs w:val="20"/>
              </w:rPr>
              <w:t xml:space="preserve">伊藤忠デジタル事業群の中核企業として、株式会社シグマクシスと連携し企業のCIOに向け戦略立案から開発・構築導入、運用・保守までを伴走支援。第1弾として「CIO×Compass powered by Co-CIOサービス」を展開し、2026年度に「CIO×Architect」「CIO×Modernize」を展開予定</w:t>
            </w:r>
          </w:p>
        </w:tc>
      </w:tr>
    </w:tbl>
    <w:p>
      <w:pPr>
        <w:pStyle w:val="Heading1"/>
        <w:pBdr>
          <w:bottom w:val="single" w:color="0B3B6B" w:sz="8" w:space="4"/>
        </w:pBdr>
        <w:spacing w:after="200" w:before="400"/>
      </w:pPr>
      <w:r>
        <w:rPr>
          <w:b/>
          <w:bCs/>
          <w:color w:val="0B3B6B"/>
          <w:sz w:val="30"/>
          <w:szCs w:val="30"/>
        </w:rPr>
        <w:t xml:space="preserve">9. 直近の業績（財務ハイライト）</w:t>
      </w:r>
    </w:p>
    <w:p>
      <w:pPr>
        <w:pStyle w:val="Heading2"/>
        <w:spacing w:after="120" w:before="300"/>
      </w:pPr>
      <w:r>
        <w:rPr>
          <w:b/>
          <w:bCs/>
          <w:color w:val="0B3B6B"/>
          <w:sz w:val="24"/>
          <w:szCs w:val="24"/>
        </w:rPr>
        <w:t xml:space="preserve">業績推移（連結、単位：億円）</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300"/>
        <w:gridCol w:w="1300"/>
        <w:gridCol w:w="1300"/>
        <w:gridCol w:w="1300"/>
      </w:tblGrid>
      <w:tr>
        <w:trPr>
          <w:tblHeader/>
        </w:trPr>
        <w:tc>
          <w:tcPr>
            <w:tcW w:type="dxa" w:w="3200"/>
            <w:shd w:fill="0B3B6B" w:val="clear"/>
            <w:tcMar>
              <w:top w:type="dxa" w:w="60"/>
              <w:left w:type="dxa" w:w="100"/>
              <w:bottom w:type="dxa" w:w="60"/>
              <w:right w:type="dxa" w:w="100"/>
            </w:tcMar>
            <w:vAlign w:val="center"/>
          </w:tcPr>
          <w:p>
            <w:r>
              <w:rPr>
                <w:b/>
                <w:bCs/>
                <w:color w:val="FFFFFF"/>
                <w:sz w:val="20"/>
                <w:szCs w:val="20"/>
              </w:rPr>
              <w:t xml:space="preserve"/>
            </w:r>
          </w:p>
        </w:tc>
        <w:tc>
          <w:tcPr>
            <w:tcW w:type="dxa" w:w="1300"/>
            <w:shd w:fill="0B3B6B" w:val="clear"/>
            <w:tcMar>
              <w:top w:type="dxa" w:w="60"/>
              <w:left w:type="dxa" w:w="100"/>
              <w:bottom w:type="dxa" w:w="60"/>
              <w:right w:type="dxa" w:w="100"/>
            </w:tcMar>
            <w:vAlign w:val="center"/>
          </w:tcPr>
          <w:p>
            <w:r>
              <w:rPr>
                <w:b/>
                <w:bCs/>
                <w:color w:val="FFFFFF"/>
                <w:sz w:val="20"/>
                <w:szCs w:val="20"/>
              </w:rPr>
              <w:t xml:space="preserve">2020年度</w:t>
            </w:r>
          </w:p>
        </w:tc>
        <w:tc>
          <w:tcPr>
            <w:tcW w:type="dxa" w:w="1300"/>
            <w:shd w:fill="0B3B6B" w:val="clear"/>
            <w:tcMar>
              <w:top w:type="dxa" w:w="60"/>
              <w:left w:type="dxa" w:w="100"/>
              <w:bottom w:type="dxa" w:w="60"/>
              <w:right w:type="dxa" w:w="100"/>
            </w:tcMar>
            <w:vAlign w:val="center"/>
          </w:tcPr>
          <w:p>
            <w:r>
              <w:rPr>
                <w:b/>
                <w:bCs/>
                <w:color w:val="FFFFFF"/>
                <w:sz w:val="20"/>
                <w:szCs w:val="20"/>
              </w:rPr>
              <w:t xml:space="preserve">2021年度</w:t>
            </w:r>
          </w:p>
        </w:tc>
        <w:tc>
          <w:tcPr>
            <w:tcW w:type="dxa" w:w="1300"/>
            <w:shd w:fill="0B3B6B" w:val="clear"/>
            <w:tcMar>
              <w:top w:type="dxa" w:w="60"/>
              <w:left w:type="dxa" w:w="100"/>
              <w:bottom w:type="dxa" w:w="60"/>
              <w:right w:type="dxa" w:w="100"/>
            </w:tcMar>
            <w:vAlign w:val="center"/>
          </w:tcPr>
          <w:p>
            <w:r>
              <w:rPr>
                <w:b/>
                <w:bCs/>
                <w:color w:val="FFFFFF"/>
                <w:sz w:val="20"/>
                <w:szCs w:val="20"/>
              </w:rPr>
              <w:t xml:space="preserve">2022年度</w:t>
            </w:r>
          </w:p>
        </w:tc>
        <w:tc>
          <w:tcPr>
            <w:tcW w:type="dxa" w:w="1300"/>
            <w:shd w:fill="0B3B6B" w:val="clear"/>
            <w:tcMar>
              <w:top w:type="dxa" w:w="60"/>
              <w:left w:type="dxa" w:w="100"/>
              <w:bottom w:type="dxa" w:w="60"/>
              <w:right w:type="dxa" w:w="100"/>
            </w:tcMar>
            <w:vAlign w:val="center"/>
          </w:tcPr>
          <w:p>
            <w:r>
              <w:rPr>
                <w:b/>
                <w:bCs/>
                <w:color w:val="FFFFFF"/>
                <w:sz w:val="20"/>
                <w:szCs w:val="20"/>
              </w:rPr>
              <w:t xml:space="preserve">2023年度</w:t>
            </w:r>
          </w:p>
        </w:tc>
        <w:tc>
          <w:tcPr>
            <w:tcW w:type="dxa" w:w="1300"/>
            <w:shd w:fill="0B3B6B" w:val="clear"/>
            <w:tcMar>
              <w:top w:type="dxa" w:w="60"/>
              <w:left w:type="dxa" w:w="100"/>
              <w:bottom w:type="dxa" w:w="60"/>
              <w:right w:type="dxa" w:w="100"/>
            </w:tcMar>
            <w:vAlign w:val="center"/>
          </w:tcPr>
          <w:p>
            <w:r>
              <w:rPr>
                <w:b/>
                <w:bCs/>
                <w:color w:val="FFFFFF"/>
                <w:sz w:val="20"/>
                <w:szCs w:val="20"/>
              </w:rPr>
              <w:t xml:space="preserve">2024年度</w:t>
            </w:r>
          </w:p>
        </w:tc>
      </w:tr>
      <w:tr>
        <w:tc>
          <w:tcPr>
            <w:tcW w:type="dxa" w:w="3200"/>
            <w:shd w:fill="FFFFFF" w:val="clear"/>
            <w:tcMar>
              <w:top w:type="dxa" w:w="60"/>
              <w:left w:type="dxa" w:w="100"/>
              <w:bottom w:type="dxa" w:w="60"/>
              <w:right w:type="dxa" w:w="100"/>
            </w:tcMar>
            <w:vAlign w:val="center"/>
          </w:tcPr>
          <w:p>
            <w:pPr>
              <w:spacing w:after="40"/>
            </w:pPr>
            <w:r>
              <w:rPr>
                <w:sz w:val="20"/>
                <w:szCs w:val="20"/>
              </w:rPr>
              <w:t xml:space="preserve">売上収益</w:t>
            </w:r>
          </w:p>
        </w:tc>
        <w:tc>
          <w:tcPr>
            <w:tcW w:type="dxa" w:w="1300"/>
            <w:shd w:fill="FFFFFF" w:val="clear"/>
            <w:tcMar>
              <w:top w:type="dxa" w:w="60"/>
              <w:left w:type="dxa" w:w="100"/>
              <w:bottom w:type="dxa" w:w="60"/>
              <w:right w:type="dxa" w:w="100"/>
            </w:tcMar>
            <w:vAlign w:val="center"/>
          </w:tcPr>
          <w:p>
            <w:pPr>
              <w:spacing w:after="40"/>
            </w:pPr>
            <w:r>
              <w:rPr>
                <w:sz w:val="20"/>
                <w:szCs w:val="20"/>
              </w:rPr>
              <w:t xml:space="preserve">4,799</w:t>
            </w:r>
          </w:p>
        </w:tc>
        <w:tc>
          <w:tcPr>
            <w:tcW w:type="dxa" w:w="1300"/>
            <w:shd w:fill="FFFFFF" w:val="clear"/>
            <w:tcMar>
              <w:top w:type="dxa" w:w="60"/>
              <w:left w:type="dxa" w:w="100"/>
              <w:bottom w:type="dxa" w:w="60"/>
              <w:right w:type="dxa" w:w="100"/>
            </w:tcMar>
            <w:vAlign w:val="center"/>
          </w:tcPr>
          <w:p>
            <w:pPr>
              <w:spacing w:after="40"/>
            </w:pPr>
            <w:r>
              <w:rPr>
                <w:sz w:val="20"/>
                <w:szCs w:val="20"/>
              </w:rPr>
              <w:t xml:space="preserve">5,224</w:t>
            </w:r>
          </w:p>
        </w:tc>
        <w:tc>
          <w:tcPr>
            <w:tcW w:type="dxa" w:w="1300"/>
            <w:shd w:fill="FFFFFF" w:val="clear"/>
            <w:tcMar>
              <w:top w:type="dxa" w:w="60"/>
              <w:left w:type="dxa" w:w="100"/>
              <w:bottom w:type="dxa" w:w="60"/>
              <w:right w:type="dxa" w:w="100"/>
            </w:tcMar>
            <w:vAlign w:val="center"/>
          </w:tcPr>
          <w:p>
            <w:pPr>
              <w:spacing w:after="40"/>
            </w:pPr>
            <w:r>
              <w:rPr>
                <w:sz w:val="20"/>
                <w:szCs w:val="20"/>
              </w:rPr>
              <w:t xml:space="preserve">5,709</w:t>
            </w:r>
          </w:p>
        </w:tc>
        <w:tc>
          <w:tcPr>
            <w:tcW w:type="dxa" w:w="1300"/>
            <w:shd w:fill="FFFFFF" w:val="clear"/>
            <w:tcMar>
              <w:top w:type="dxa" w:w="60"/>
              <w:left w:type="dxa" w:w="100"/>
              <w:bottom w:type="dxa" w:w="60"/>
              <w:right w:type="dxa" w:w="100"/>
            </w:tcMar>
            <w:vAlign w:val="center"/>
          </w:tcPr>
          <w:p>
            <w:pPr>
              <w:spacing w:after="40"/>
            </w:pPr>
            <w:r>
              <w:rPr>
                <w:sz w:val="20"/>
                <w:szCs w:val="20"/>
              </w:rPr>
              <w:t xml:space="preserve">6,475</w:t>
            </w:r>
          </w:p>
        </w:tc>
        <w:tc>
          <w:tcPr>
            <w:tcW w:type="dxa" w:w="1300"/>
            <w:shd w:fill="FFFFFF" w:val="clear"/>
            <w:tcMar>
              <w:top w:type="dxa" w:w="60"/>
              <w:left w:type="dxa" w:w="100"/>
              <w:bottom w:type="dxa" w:w="60"/>
              <w:right w:type="dxa" w:w="100"/>
            </w:tcMar>
            <w:vAlign w:val="center"/>
          </w:tcPr>
          <w:p>
            <w:pPr>
              <w:spacing w:after="40"/>
            </w:pPr>
            <w:r>
              <w:rPr>
                <w:sz w:val="20"/>
                <w:szCs w:val="20"/>
              </w:rPr>
              <w:t xml:space="preserve">7,282</w:t>
            </w:r>
          </w:p>
        </w:tc>
      </w:tr>
      <w:tr>
        <w:tc>
          <w:tcPr>
            <w:tcW w:type="dxa" w:w="3200"/>
            <w:shd w:fill="EAF1F8" w:val="clear"/>
            <w:tcMar>
              <w:top w:type="dxa" w:w="60"/>
              <w:left w:type="dxa" w:w="100"/>
              <w:bottom w:type="dxa" w:w="60"/>
              <w:right w:type="dxa" w:w="100"/>
            </w:tcMar>
            <w:vAlign w:val="center"/>
          </w:tcPr>
          <w:p>
            <w:pPr>
              <w:spacing w:after="40"/>
            </w:pPr>
            <w:r>
              <w:rPr>
                <w:sz w:val="20"/>
                <w:szCs w:val="20"/>
              </w:rPr>
              <w:t xml:space="preserve">売上総利益</w:t>
            </w:r>
          </w:p>
        </w:tc>
        <w:tc>
          <w:tcPr>
            <w:tcW w:type="dxa" w:w="1300"/>
            <w:shd w:fill="EAF1F8" w:val="clear"/>
            <w:tcMar>
              <w:top w:type="dxa" w:w="60"/>
              <w:left w:type="dxa" w:w="100"/>
              <w:bottom w:type="dxa" w:w="60"/>
              <w:right w:type="dxa" w:w="100"/>
            </w:tcMar>
            <w:vAlign w:val="center"/>
          </w:tcPr>
          <w:p>
            <w:pPr>
              <w:spacing w:after="40"/>
            </w:pPr>
            <w:r>
              <w:rPr>
                <w:sz w:val="20"/>
                <w:szCs w:val="20"/>
              </w:rPr>
              <w:t xml:space="preserve">1,215</w:t>
            </w:r>
          </w:p>
        </w:tc>
        <w:tc>
          <w:tcPr>
            <w:tcW w:type="dxa" w:w="1300"/>
            <w:shd w:fill="EAF1F8" w:val="clear"/>
            <w:tcMar>
              <w:top w:type="dxa" w:w="60"/>
              <w:left w:type="dxa" w:w="100"/>
              <w:bottom w:type="dxa" w:w="60"/>
              <w:right w:type="dxa" w:w="100"/>
            </w:tcMar>
            <w:vAlign w:val="center"/>
          </w:tcPr>
          <w:p>
            <w:pPr>
              <w:spacing w:after="40"/>
            </w:pPr>
            <w:r>
              <w:rPr>
                <w:sz w:val="20"/>
                <w:szCs w:val="20"/>
              </w:rPr>
              <w:t xml:space="preserve">1,347</w:t>
            </w:r>
          </w:p>
        </w:tc>
        <w:tc>
          <w:tcPr>
            <w:tcW w:type="dxa" w:w="1300"/>
            <w:shd w:fill="EAF1F8" w:val="clear"/>
            <w:tcMar>
              <w:top w:type="dxa" w:w="60"/>
              <w:left w:type="dxa" w:w="100"/>
              <w:bottom w:type="dxa" w:w="60"/>
              <w:right w:type="dxa" w:w="100"/>
            </w:tcMar>
            <w:vAlign w:val="center"/>
          </w:tcPr>
          <w:p>
            <w:pPr>
              <w:spacing w:after="40"/>
            </w:pPr>
            <w:r>
              <w:rPr>
                <w:sz w:val="20"/>
                <w:szCs w:val="20"/>
              </w:rPr>
              <w:t xml:space="preserve">1,391</w:t>
            </w:r>
          </w:p>
        </w:tc>
        <w:tc>
          <w:tcPr>
            <w:tcW w:type="dxa" w:w="1300"/>
            <w:shd w:fill="EAF1F8" w:val="clear"/>
            <w:tcMar>
              <w:top w:type="dxa" w:w="60"/>
              <w:left w:type="dxa" w:w="100"/>
              <w:bottom w:type="dxa" w:w="60"/>
              <w:right w:type="dxa" w:w="100"/>
            </w:tcMar>
            <w:vAlign w:val="center"/>
          </w:tcPr>
          <w:p>
            <w:pPr>
              <w:spacing w:after="40"/>
            </w:pPr>
            <w:r>
              <w:rPr>
                <w:sz w:val="20"/>
                <w:szCs w:val="20"/>
              </w:rPr>
              <w:t xml:space="preserve">1,626</w:t>
            </w:r>
          </w:p>
        </w:tc>
        <w:tc>
          <w:tcPr>
            <w:tcW w:type="dxa" w:w="1300"/>
            <w:shd w:fill="EAF1F8" w:val="clear"/>
            <w:tcMar>
              <w:top w:type="dxa" w:w="60"/>
              <w:left w:type="dxa" w:w="100"/>
              <w:bottom w:type="dxa" w:w="60"/>
              <w:right w:type="dxa" w:w="100"/>
            </w:tcMar>
            <w:vAlign w:val="center"/>
          </w:tcPr>
          <w:p>
            <w:pPr>
              <w:spacing w:after="40"/>
            </w:pPr>
            <w:r>
              <w:rPr>
                <w:sz w:val="20"/>
                <w:szCs w:val="20"/>
              </w:rPr>
              <w:t xml:space="preserve">1,877</w:t>
            </w:r>
          </w:p>
        </w:tc>
      </w:tr>
      <w:tr>
        <w:tc>
          <w:tcPr>
            <w:tcW w:type="dxa" w:w="3200"/>
            <w:shd w:fill="FFFFFF" w:val="clear"/>
            <w:tcMar>
              <w:top w:type="dxa" w:w="60"/>
              <w:left w:type="dxa" w:w="100"/>
              <w:bottom w:type="dxa" w:w="60"/>
              <w:right w:type="dxa" w:w="100"/>
            </w:tcMar>
            <w:vAlign w:val="center"/>
          </w:tcPr>
          <w:p>
            <w:pPr>
              <w:spacing w:after="40"/>
            </w:pPr>
            <w:r>
              <w:rPr>
                <w:sz w:val="20"/>
                <w:szCs w:val="20"/>
              </w:rPr>
              <w:t xml:space="preserve">売上総利益率</w:t>
            </w:r>
          </w:p>
        </w:tc>
        <w:tc>
          <w:tcPr>
            <w:tcW w:type="dxa" w:w="1300"/>
            <w:shd w:fill="FFFFFF" w:val="clear"/>
            <w:tcMar>
              <w:top w:type="dxa" w:w="60"/>
              <w:left w:type="dxa" w:w="100"/>
              <w:bottom w:type="dxa" w:w="60"/>
              <w:right w:type="dxa" w:w="100"/>
            </w:tcMar>
            <w:vAlign w:val="center"/>
          </w:tcPr>
          <w:p>
            <w:pPr>
              <w:spacing w:after="40"/>
            </w:pPr>
            <w:r>
              <w:rPr>
                <w:sz w:val="20"/>
                <w:szCs w:val="20"/>
              </w:rPr>
              <w:t xml:space="preserve">25.3%</w:t>
            </w:r>
          </w:p>
        </w:tc>
        <w:tc>
          <w:tcPr>
            <w:tcW w:type="dxa" w:w="1300"/>
            <w:shd w:fill="FFFFFF" w:val="clear"/>
            <w:tcMar>
              <w:top w:type="dxa" w:w="60"/>
              <w:left w:type="dxa" w:w="100"/>
              <w:bottom w:type="dxa" w:w="60"/>
              <w:right w:type="dxa" w:w="100"/>
            </w:tcMar>
            <w:vAlign w:val="center"/>
          </w:tcPr>
          <w:p>
            <w:pPr>
              <w:spacing w:after="40"/>
            </w:pPr>
            <w:r>
              <w:rPr>
                <w:sz w:val="20"/>
                <w:szCs w:val="20"/>
              </w:rPr>
              <w:t xml:space="preserve">25.8%</w:t>
            </w:r>
          </w:p>
        </w:tc>
        <w:tc>
          <w:tcPr>
            <w:tcW w:type="dxa" w:w="1300"/>
            <w:shd w:fill="FFFFFF" w:val="clear"/>
            <w:tcMar>
              <w:top w:type="dxa" w:w="60"/>
              <w:left w:type="dxa" w:w="100"/>
              <w:bottom w:type="dxa" w:w="60"/>
              <w:right w:type="dxa" w:w="100"/>
            </w:tcMar>
            <w:vAlign w:val="center"/>
          </w:tcPr>
          <w:p>
            <w:pPr>
              <w:spacing w:after="40"/>
            </w:pPr>
            <w:r>
              <w:rPr>
                <w:sz w:val="20"/>
                <w:szCs w:val="20"/>
              </w:rPr>
              <w:t xml:space="preserve">24.4%</w:t>
            </w:r>
          </w:p>
        </w:tc>
        <w:tc>
          <w:tcPr>
            <w:tcW w:type="dxa" w:w="1300"/>
            <w:shd w:fill="FFFFFF" w:val="clear"/>
            <w:tcMar>
              <w:top w:type="dxa" w:w="60"/>
              <w:left w:type="dxa" w:w="100"/>
              <w:bottom w:type="dxa" w:w="60"/>
              <w:right w:type="dxa" w:w="100"/>
            </w:tcMar>
            <w:vAlign w:val="center"/>
          </w:tcPr>
          <w:p>
            <w:pPr>
              <w:spacing w:after="40"/>
            </w:pPr>
            <w:r>
              <w:rPr>
                <w:sz w:val="20"/>
                <w:szCs w:val="20"/>
              </w:rPr>
              <w:t xml:space="preserve">25.1%</w:t>
            </w:r>
          </w:p>
        </w:tc>
        <w:tc>
          <w:tcPr>
            <w:tcW w:type="dxa" w:w="1300"/>
            <w:shd w:fill="FFFFFF" w:val="clear"/>
            <w:tcMar>
              <w:top w:type="dxa" w:w="60"/>
              <w:left w:type="dxa" w:w="100"/>
              <w:bottom w:type="dxa" w:w="60"/>
              <w:right w:type="dxa" w:w="100"/>
            </w:tcMar>
            <w:vAlign w:val="center"/>
          </w:tcPr>
          <w:p>
            <w:pPr>
              <w:spacing w:after="40"/>
            </w:pPr>
            <w:r>
              <w:rPr>
                <w:sz w:val="20"/>
                <w:szCs w:val="20"/>
              </w:rPr>
              <w:t xml:space="preserve">25.8%</w:t>
            </w:r>
          </w:p>
        </w:tc>
      </w:tr>
      <w:tr>
        <w:tc>
          <w:tcPr>
            <w:tcW w:type="dxa" w:w="3200"/>
            <w:shd w:fill="EAF1F8" w:val="clear"/>
            <w:tcMar>
              <w:top w:type="dxa" w:w="60"/>
              <w:left w:type="dxa" w:w="100"/>
              <w:bottom w:type="dxa" w:w="60"/>
              <w:right w:type="dxa" w:w="100"/>
            </w:tcMar>
            <w:vAlign w:val="center"/>
          </w:tcPr>
          <w:p>
            <w:pPr>
              <w:spacing w:after="40"/>
            </w:pPr>
            <w:r>
              <w:rPr>
                <w:sz w:val="20"/>
                <w:szCs w:val="20"/>
              </w:rPr>
              <w:t xml:space="preserve">営業利益</w:t>
            </w:r>
          </w:p>
        </w:tc>
        <w:tc>
          <w:tcPr>
            <w:tcW w:type="dxa" w:w="1300"/>
            <w:shd w:fill="EAF1F8" w:val="clear"/>
            <w:tcMar>
              <w:top w:type="dxa" w:w="60"/>
              <w:left w:type="dxa" w:w="100"/>
              <w:bottom w:type="dxa" w:w="60"/>
              <w:right w:type="dxa" w:w="100"/>
            </w:tcMar>
            <w:vAlign w:val="center"/>
          </w:tcPr>
          <w:p>
            <w:pPr>
              <w:spacing w:after="40"/>
            </w:pPr>
            <w:r>
              <w:rPr>
                <w:sz w:val="20"/>
                <w:szCs w:val="20"/>
              </w:rPr>
              <w:t xml:space="preserve">436</w:t>
            </w:r>
          </w:p>
        </w:tc>
        <w:tc>
          <w:tcPr>
            <w:tcW w:type="dxa" w:w="1300"/>
            <w:shd w:fill="EAF1F8" w:val="clear"/>
            <w:tcMar>
              <w:top w:type="dxa" w:w="60"/>
              <w:left w:type="dxa" w:w="100"/>
              <w:bottom w:type="dxa" w:w="60"/>
              <w:right w:type="dxa" w:w="100"/>
            </w:tcMar>
            <w:vAlign w:val="center"/>
          </w:tcPr>
          <w:p>
            <w:pPr>
              <w:spacing w:after="40"/>
            </w:pPr>
            <w:r>
              <w:rPr>
                <w:sz w:val="20"/>
                <w:szCs w:val="20"/>
              </w:rPr>
              <w:t xml:space="preserve">505</w:t>
            </w:r>
          </w:p>
        </w:tc>
        <w:tc>
          <w:tcPr>
            <w:tcW w:type="dxa" w:w="1300"/>
            <w:shd w:fill="EAF1F8" w:val="clear"/>
            <w:tcMar>
              <w:top w:type="dxa" w:w="60"/>
              <w:left w:type="dxa" w:w="100"/>
              <w:bottom w:type="dxa" w:w="60"/>
              <w:right w:type="dxa" w:w="100"/>
            </w:tcMar>
            <w:vAlign w:val="center"/>
          </w:tcPr>
          <w:p>
            <w:pPr>
              <w:spacing w:after="40"/>
            </w:pPr>
            <w:r>
              <w:rPr>
                <w:sz w:val="20"/>
                <w:szCs w:val="20"/>
              </w:rPr>
              <w:t xml:space="preserve">465</w:t>
            </w:r>
          </w:p>
        </w:tc>
        <w:tc>
          <w:tcPr>
            <w:tcW w:type="dxa" w:w="1300"/>
            <w:shd w:fill="EAF1F8" w:val="clear"/>
            <w:tcMar>
              <w:top w:type="dxa" w:w="60"/>
              <w:left w:type="dxa" w:w="100"/>
              <w:bottom w:type="dxa" w:w="60"/>
              <w:right w:type="dxa" w:w="100"/>
            </w:tcMar>
            <w:vAlign w:val="center"/>
          </w:tcPr>
          <w:p>
            <w:pPr>
              <w:spacing w:after="40"/>
            </w:pPr>
            <w:r>
              <w:rPr>
                <w:sz w:val="20"/>
                <w:szCs w:val="20"/>
              </w:rPr>
              <w:t xml:space="preserve">573</w:t>
            </w:r>
          </w:p>
        </w:tc>
        <w:tc>
          <w:tcPr>
            <w:tcW w:type="dxa" w:w="1300"/>
            <w:shd w:fill="EAF1F8" w:val="clear"/>
            <w:tcMar>
              <w:top w:type="dxa" w:w="60"/>
              <w:left w:type="dxa" w:w="100"/>
              <w:bottom w:type="dxa" w:w="60"/>
              <w:right w:type="dxa" w:w="100"/>
            </w:tcMar>
            <w:vAlign w:val="center"/>
          </w:tcPr>
          <w:p>
            <w:pPr>
              <w:spacing w:after="40"/>
            </w:pPr>
            <w:r>
              <w:rPr>
                <w:sz w:val="20"/>
                <w:szCs w:val="20"/>
              </w:rPr>
              <w:t xml:space="preserve">676</w:t>
            </w:r>
          </w:p>
        </w:tc>
      </w:tr>
      <w:tr>
        <w:tc>
          <w:tcPr>
            <w:tcW w:type="dxa" w:w="3200"/>
            <w:shd w:fill="FFFFFF" w:val="clear"/>
            <w:tcMar>
              <w:top w:type="dxa" w:w="60"/>
              <w:left w:type="dxa" w:w="100"/>
              <w:bottom w:type="dxa" w:w="60"/>
              <w:right w:type="dxa" w:w="100"/>
            </w:tcMar>
            <w:vAlign w:val="center"/>
          </w:tcPr>
          <w:p>
            <w:pPr>
              <w:spacing w:after="40"/>
            </w:pPr>
            <w:r>
              <w:rPr>
                <w:sz w:val="20"/>
                <w:szCs w:val="20"/>
              </w:rPr>
              <w:t xml:space="preserve">営業利益率</w:t>
            </w:r>
          </w:p>
        </w:tc>
        <w:tc>
          <w:tcPr>
            <w:tcW w:type="dxa" w:w="1300"/>
            <w:shd w:fill="FFFFFF" w:val="clear"/>
            <w:tcMar>
              <w:top w:type="dxa" w:w="60"/>
              <w:left w:type="dxa" w:w="100"/>
              <w:bottom w:type="dxa" w:w="60"/>
              <w:right w:type="dxa" w:w="100"/>
            </w:tcMar>
            <w:vAlign w:val="center"/>
          </w:tcPr>
          <w:p>
            <w:pPr>
              <w:spacing w:after="40"/>
            </w:pPr>
            <w:r>
              <w:rPr>
                <w:sz w:val="20"/>
                <w:szCs w:val="20"/>
              </w:rPr>
              <w:t xml:space="preserve">9.1%</w:t>
            </w:r>
          </w:p>
        </w:tc>
        <w:tc>
          <w:tcPr>
            <w:tcW w:type="dxa" w:w="1300"/>
            <w:shd w:fill="FFFFFF" w:val="clear"/>
            <w:tcMar>
              <w:top w:type="dxa" w:w="60"/>
              <w:left w:type="dxa" w:w="100"/>
              <w:bottom w:type="dxa" w:w="60"/>
              <w:right w:type="dxa" w:w="100"/>
            </w:tcMar>
            <w:vAlign w:val="center"/>
          </w:tcPr>
          <w:p>
            <w:pPr>
              <w:spacing w:after="40"/>
            </w:pPr>
            <w:r>
              <w:rPr>
                <w:sz w:val="20"/>
                <w:szCs w:val="20"/>
              </w:rPr>
              <w:t xml:space="preserve">9.7%</w:t>
            </w:r>
          </w:p>
        </w:tc>
        <w:tc>
          <w:tcPr>
            <w:tcW w:type="dxa" w:w="1300"/>
            <w:shd w:fill="FFFFFF" w:val="clear"/>
            <w:tcMar>
              <w:top w:type="dxa" w:w="60"/>
              <w:left w:type="dxa" w:w="100"/>
              <w:bottom w:type="dxa" w:w="60"/>
              <w:right w:type="dxa" w:w="100"/>
            </w:tcMar>
            <w:vAlign w:val="center"/>
          </w:tcPr>
          <w:p>
            <w:pPr>
              <w:spacing w:after="40"/>
            </w:pPr>
            <w:r>
              <w:rPr>
                <w:sz w:val="20"/>
                <w:szCs w:val="20"/>
              </w:rPr>
              <w:t xml:space="preserve">8.1%</w:t>
            </w:r>
          </w:p>
        </w:tc>
        <w:tc>
          <w:tcPr>
            <w:tcW w:type="dxa" w:w="1300"/>
            <w:shd w:fill="FFFFFF" w:val="clear"/>
            <w:tcMar>
              <w:top w:type="dxa" w:w="60"/>
              <w:left w:type="dxa" w:w="100"/>
              <w:bottom w:type="dxa" w:w="60"/>
              <w:right w:type="dxa" w:w="100"/>
            </w:tcMar>
            <w:vAlign w:val="center"/>
          </w:tcPr>
          <w:p>
            <w:pPr>
              <w:spacing w:after="40"/>
            </w:pPr>
            <w:r>
              <w:rPr>
                <w:sz w:val="20"/>
                <w:szCs w:val="20"/>
              </w:rPr>
              <w:t xml:space="preserve">8.9%</w:t>
            </w:r>
          </w:p>
        </w:tc>
        <w:tc>
          <w:tcPr>
            <w:tcW w:type="dxa" w:w="1300"/>
            <w:shd w:fill="FFFFFF" w:val="clear"/>
            <w:tcMar>
              <w:top w:type="dxa" w:w="60"/>
              <w:left w:type="dxa" w:w="100"/>
              <w:bottom w:type="dxa" w:w="60"/>
              <w:right w:type="dxa" w:w="100"/>
            </w:tcMar>
            <w:vAlign w:val="center"/>
          </w:tcPr>
          <w:p>
            <w:pPr>
              <w:spacing w:after="40"/>
            </w:pPr>
            <w:r>
              <w:rPr>
                <w:sz w:val="20"/>
                <w:szCs w:val="20"/>
              </w:rPr>
              <w:t xml:space="preserve">9.3%</w:t>
            </w:r>
          </w:p>
        </w:tc>
      </w:tr>
      <w:tr>
        <w:tc>
          <w:tcPr>
            <w:tcW w:type="dxa" w:w="3200"/>
            <w:shd w:fill="EAF1F8" w:val="clear"/>
            <w:tcMar>
              <w:top w:type="dxa" w:w="60"/>
              <w:left w:type="dxa" w:w="100"/>
              <w:bottom w:type="dxa" w:w="60"/>
              <w:right w:type="dxa" w:w="100"/>
            </w:tcMar>
            <w:vAlign w:val="center"/>
          </w:tcPr>
          <w:p>
            <w:pPr>
              <w:spacing w:after="40"/>
            </w:pPr>
            <w:r>
              <w:rPr>
                <w:sz w:val="20"/>
                <w:szCs w:val="20"/>
              </w:rPr>
              <w:t xml:space="preserve">当期純利益（親会社株主帰属）</w:t>
            </w:r>
          </w:p>
        </w:tc>
        <w:tc>
          <w:tcPr>
            <w:tcW w:type="dxa" w:w="1300"/>
            <w:shd w:fill="EAF1F8" w:val="clear"/>
            <w:tcMar>
              <w:top w:type="dxa" w:w="60"/>
              <w:left w:type="dxa" w:w="100"/>
              <w:bottom w:type="dxa" w:w="60"/>
              <w:right w:type="dxa" w:w="100"/>
            </w:tcMar>
            <w:vAlign w:val="center"/>
          </w:tcPr>
          <w:p>
            <w:pPr>
              <w:spacing w:after="40"/>
            </w:pPr>
            <w:r>
              <w:rPr>
                <w:sz w:val="20"/>
                <w:szCs w:val="20"/>
              </w:rPr>
              <w:t xml:space="preserve">305</w:t>
            </w:r>
          </w:p>
        </w:tc>
        <w:tc>
          <w:tcPr>
            <w:tcW w:type="dxa" w:w="1300"/>
            <w:shd w:fill="EAF1F8" w:val="clear"/>
            <w:tcMar>
              <w:top w:type="dxa" w:w="60"/>
              <w:left w:type="dxa" w:w="100"/>
              <w:bottom w:type="dxa" w:w="60"/>
              <w:right w:type="dxa" w:w="100"/>
            </w:tcMar>
            <w:vAlign w:val="center"/>
          </w:tcPr>
          <w:p>
            <w:pPr>
              <w:spacing w:after="40"/>
            </w:pPr>
            <w:r>
              <w:rPr>
                <w:sz w:val="20"/>
                <w:szCs w:val="20"/>
              </w:rPr>
              <w:t xml:space="preserve">354</w:t>
            </w:r>
          </w:p>
        </w:tc>
        <w:tc>
          <w:tcPr>
            <w:tcW w:type="dxa" w:w="1300"/>
            <w:shd w:fill="EAF1F8" w:val="clear"/>
            <w:tcMar>
              <w:top w:type="dxa" w:w="60"/>
              <w:left w:type="dxa" w:w="100"/>
              <w:bottom w:type="dxa" w:w="60"/>
              <w:right w:type="dxa" w:w="100"/>
            </w:tcMar>
            <w:vAlign w:val="center"/>
          </w:tcPr>
          <w:p>
            <w:pPr>
              <w:spacing w:after="40"/>
            </w:pPr>
            <w:r>
              <w:rPr>
                <w:sz w:val="20"/>
                <w:szCs w:val="20"/>
              </w:rPr>
              <w:t xml:space="preserve">342</w:t>
            </w:r>
          </w:p>
        </w:tc>
        <w:tc>
          <w:tcPr>
            <w:tcW w:type="dxa" w:w="1300"/>
            <w:shd w:fill="EAF1F8" w:val="clear"/>
            <w:tcMar>
              <w:top w:type="dxa" w:w="60"/>
              <w:left w:type="dxa" w:w="100"/>
              <w:bottom w:type="dxa" w:w="60"/>
              <w:right w:type="dxa" w:w="100"/>
            </w:tcMar>
            <w:vAlign w:val="center"/>
          </w:tcPr>
          <w:p>
            <w:pPr>
              <w:spacing w:after="40"/>
            </w:pPr>
            <w:r>
              <w:rPr>
                <w:sz w:val="20"/>
                <w:szCs w:val="20"/>
              </w:rPr>
              <w:t xml:space="preserve">413</w:t>
            </w:r>
          </w:p>
        </w:tc>
        <w:tc>
          <w:tcPr>
            <w:tcW w:type="dxa" w:w="1300"/>
            <w:shd w:fill="EAF1F8" w:val="clear"/>
            <w:tcMar>
              <w:top w:type="dxa" w:w="60"/>
              <w:left w:type="dxa" w:w="100"/>
              <w:bottom w:type="dxa" w:w="60"/>
              <w:right w:type="dxa" w:w="100"/>
            </w:tcMar>
            <w:vAlign w:val="center"/>
          </w:tcPr>
          <w:p>
            <w:pPr>
              <w:spacing w:after="40"/>
            </w:pPr>
            <w:r>
              <w:rPr>
                <w:sz w:val="20"/>
                <w:szCs w:val="20"/>
              </w:rPr>
              <w:t xml:space="preserve">503</w:t>
            </w:r>
          </w:p>
        </w:tc>
      </w:tr>
      <w:tr>
        <w:tc>
          <w:tcPr>
            <w:tcW w:type="dxa" w:w="3200"/>
            <w:shd w:fill="FFFFFF" w:val="clear"/>
            <w:tcMar>
              <w:top w:type="dxa" w:w="60"/>
              <w:left w:type="dxa" w:w="100"/>
              <w:bottom w:type="dxa" w:w="60"/>
              <w:right w:type="dxa" w:w="100"/>
            </w:tcMar>
            <w:vAlign w:val="center"/>
          </w:tcPr>
          <w:p>
            <w:pPr>
              <w:spacing w:after="40"/>
            </w:pPr>
            <w:r>
              <w:rPr>
                <w:sz w:val="20"/>
                <w:szCs w:val="20"/>
              </w:rPr>
              <w:t xml:space="preserve">受注高</w:t>
            </w:r>
          </w:p>
        </w:tc>
        <w:tc>
          <w:tcPr>
            <w:tcW w:type="dxa" w:w="1300"/>
            <w:shd w:fill="FFFFFF" w:val="clear"/>
            <w:tcMar>
              <w:top w:type="dxa" w:w="60"/>
              <w:left w:type="dxa" w:w="100"/>
              <w:bottom w:type="dxa" w:w="60"/>
              <w:right w:type="dxa" w:w="100"/>
            </w:tcMar>
            <w:vAlign w:val="center"/>
          </w:tcPr>
          <w:p>
            <w:pPr>
              <w:spacing w:after="40"/>
            </w:pPr>
            <w:r>
              <w:rPr>
                <w:sz w:val="20"/>
                <w:szCs w:val="20"/>
              </w:rPr>
              <w:t xml:space="preserve">5,225</w:t>
            </w:r>
          </w:p>
        </w:tc>
        <w:tc>
          <w:tcPr>
            <w:tcW w:type="dxa" w:w="1300"/>
            <w:shd w:fill="FFFFFF" w:val="clear"/>
            <w:tcMar>
              <w:top w:type="dxa" w:w="60"/>
              <w:left w:type="dxa" w:w="100"/>
              <w:bottom w:type="dxa" w:w="60"/>
              <w:right w:type="dxa" w:w="100"/>
            </w:tcMar>
            <w:vAlign w:val="center"/>
          </w:tcPr>
          <w:p>
            <w:pPr>
              <w:spacing w:after="40"/>
            </w:pPr>
            <w:r>
              <w:rPr>
                <w:sz w:val="20"/>
                <w:szCs w:val="20"/>
              </w:rPr>
              <w:t xml:space="preserve">5,470</w:t>
            </w:r>
          </w:p>
        </w:tc>
        <w:tc>
          <w:tcPr>
            <w:tcW w:type="dxa" w:w="1300"/>
            <w:shd w:fill="FFFFFF" w:val="clear"/>
            <w:tcMar>
              <w:top w:type="dxa" w:w="60"/>
              <w:left w:type="dxa" w:w="100"/>
              <w:bottom w:type="dxa" w:w="60"/>
              <w:right w:type="dxa" w:w="100"/>
            </w:tcMar>
            <w:vAlign w:val="center"/>
          </w:tcPr>
          <w:p>
            <w:pPr>
              <w:spacing w:after="40"/>
            </w:pPr>
            <w:r>
              <w:rPr>
                <w:sz w:val="20"/>
                <w:szCs w:val="20"/>
              </w:rPr>
              <w:t xml:space="preserve">6,284</w:t>
            </w:r>
          </w:p>
        </w:tc>
        <w:tc>
          <w:tcPr>
            <w:tcW w:type="dxa" w:w="1300"/>
            <w:shd w:fill="FFFFFF" w:val="clear"/>
            <w:tcMar>
              <w:top w:type="dxa" w:w="60"/>
              <w:left w:type="dxa" w:w="100"/>
              <w:bottom w:type="dxa" w:w="60"/>
              <w:right w:type="dxa" w:w="100"/>
            </w:tcMar>
            <w:vAlign w:val="center"/>
          </w:tcPr>
          <w:p>
            <w:pPr>
              <w:spacing w:after="40"/>
            </w:pPr>
            <w:r>
              <w:rPr>
                <w:sz w:val="20"/>
                <w:szCs w:val="20"/>
              </w:rPr>
              <w:t xml:space="preserve">6,939</w:t>
            </w:r>
          </w:p>
        </w:tc>
        <w:tc>
          <w:tcPr>
            <w:tcW w:type="dxa" w:w="1300"/>
            <w:shd w:fill="FFFFFF" w:val="clear"/>
            <w:tcMar>
              <w:top w:type="dxa" w:w="60"/>
              <w:left w:type="dxa" w:w="100"/>
              <w:bottom w:type="dxa" w:w="60"/>
              <w:right w:type="dxa" w:w="100"/>
            </w:tcMar>
            <w:vAlign w:val="center"/>
          </w:tcPr>
          <w:p>
            <w:pPr>
              <w:spacing w:after="40"/>
            </w:pPr>
            <w:r>
              <w:rPr>
                <w:sz w:val="20"/>
                <w:szCs w:val="20"/>
              </w:rPr>
              <w:t xml:space="preserve">7,638</w:t>
            </w:r>
          </w:p>
        </w:tc>
      </w:tr>
      <w:tr>
        <w:tc>
          <w:tcPr>
            <w:tcW w:type="dxa" w:w="3200"/>
            <w:shd w:fill="EAF1F8" w:val="clear"/>
            <w:tcMar>
              <w:top w:type="dxa" w:w="60"/>
              <w:left w:type="dxa" w:w="100"/>
              <w:bottom w:type="dxa" w:w="60"/>
              <w:right w:type="dxa" w:w="100"/>
            </w:tcMar>
            <w:vAlign w:val="center"/>
          </w:tcPr>
          <w:p>
            <w:pPr>
              <w:spacing w:after="40"/>
            </w:pPr>
            <w:r>
              <w:rPr>
                <w:sz w:val="20"/>
                <w:szCs w:val="20"/>
              </w:rPr>
              <w:t xml:space="preserve">受注残高</w:t>
            </w:r>
          </w:p>
        </w:tc>
        <w:tc>
          <w:tcPr>
            <w:tcW w:type="dxa" w:w="1300"/>
            <w:shd w:fill="EAF1F8" w:val="clear"/>
            <w:tcMar>
              <w:top w:type="dxa" w:w="60"/>
              <w:left w:type="dxa" w:w="100"/>
              <w:bottom w:type="dxa" w:w="60"/>
              <w:right w:type="dxa" w:w="100"/>
            </w:tcMar>
            <w:vAlign w:val="center"/>
          </w:tcPr>
          <w:p>
            <w:pPr>
              <w:spacing w:after="40"/>
            </w:pPr>
            <w:r>
              <w:rPr>
                <w:sz w:val="20"/>
                <w:szCs w:val="20"/>
              </w:rPr>
              <w:t xml:space="preserve">3,149</w:t>
            </w:r>
          </w:p>
        </w:tc>
        <w:tc>
          <w:tcPr>
            <w:tcW w:type="dxa" w:w="1300"/>
            <w:shd w:fill="EAF1F8" w:val="clear"/>
            <w:tcMar>
              <w:top w:type="dxa" w:w="60"/>
              <w:left w:type="dxa" w:w="100"/>
              <w:bottom w:type="dxa" w:w="60"/>
              <w:right w:type="dxa" w:w="100"/>
            </w:tcMar>
            <w:vAlign w:val="center"/>
          </w:tcPr>
          <w:p>
            <w:pPr>
              <w:spacing w:after="40"/>
            </w:pPr>
            <w:r>
              <w:rPr>
                <w:sz w:val="20"/>
                <w:szCs w:val="20"/>
              </w:rPr>
              <w:t xml:space="preserve">3,396</w:t>
            </w:r>
          </w:p>
        </w:tc>
        <w:tc>
          <w:tcPr>
            <w:tcW w:type="dxa" w:w="1300"/>
            <w:shd w:fill="EAF1F8" w:val="clear"/>
            <w:tcMar>
              <w:top w:type="dxa" w:w="60"/>
              <w:left w:type="dxa" w:w="100"/>
              <w:bottom w:type="dxa" w:w="60"/>
              <w:right w:type="dxa" w:w="100"/>
            </w:tcMar>
            <w:vAlign w:val="center"/>
          </w:tcPr>
          <w:p>
            <w:pPr>
              <w:spacing w:after="40"/>
            </w:pPr>
            <w:r>
              <w:rPr>
                <w:sz w:val="20"/>
                <w:szCs w:val="20"/>
              </w:rPr>
              <w:t xml:space="preserve">3,970</w:t>
            </w:r>
          </w:p>
        </w:tc>
        <w:tc>
          <w:tcPr>
            <w:tcW w:type="dxa" w:w="1300"/>
            <w:shd w:fill="EAF1F8" w:val="clear"/>
            <w:tcMar>
              <w:top w:type="dxa" w:w="60"/>
              <w:left w:type="dxa" w:w="100"/>
              <w:bottom w:type="dxa" w:w="60"/>
              <w:right w:type="dxa" w:w="100"/>
            </w:tcMar>
            <w:vAlign w:val="center"/>
          </w:tcPr>
          <w:p>
            <w:pPr>
              <w:spacing w:after="40"/>
            </w:pPr>
            <w:r>
              <w:rPr>
                <w:sz w:val="20"/>
                <w:szCs w:val="20"/>
              </w:rPr>
              <w:t xml:space="preserve">4,434</w:t>
            </w:r>
          </w:p>
        </w:tc>
        <w:tc>
          <w:tcPr>
            <w:tcW w:type="dxa" w:w="1300"/>
            <w:shd w:fill="EAF1F8" w:val="clear"/>
            <w:tcMar>
              <w:top w:type="dxa" w:w="60"/>
              <w:left w:type="dxa" w:w="100"/>
              <w:bottom w:type="dxa" w:w="60"/>
              <w:right w:type="dxa" w:w="100"/>
            </w:tcMar>
            <w:vAlign w:val="center"/>
          </w:tcPr>
          <w:p>
            <w:pPr>
              <w:spacing w:after="40"/>
            </w:pPr>
            <w:r>
              <w:rPr>
                <w:sz w:val="20"/>
                <w:szCs w:val="20"/>
              </w:rPr>
              <w:t xml:space="preserve">4,790</w:t>
            </w:r>
          </w:p>
        </w:tc>
      </w:tr>
    </w:tbl>
    <w:p>
      <w:pPr>
        <w:spacing w:after="120"/>
      </w:pPr>
    </w:p>
    <w:p>
      <w:pPr>
        <w:spacing w:after="120" w:line="300"/>
      </w:pPr>
      <w:r>
        <w:rPr>
          <w:sz w:val="21"/>
          <w:szCs w:val="21"/>
        </w:rPr>
        <w:t xml:space="preserve">2024年度は、当社グループの広範な顧客基盤を活かし拡大するDX需要を全方位で捉えた結果、売上収益が過去最高を更新。付加価値の高い案件や開発の収益性向上等が寄与し、売上総利益率・営業利益率は2期連続で伸長した。受注高は前年度比+10%超、受注残高は+8.0%となり、いずれも過去最高を更新（2024年度、Corporate Bookより）。</w:t>
      </w:r>
    </w:p>
    <w:p>
      <w:pPr>
        <w:pStyle w:val="Heading2"/>
        <w:spacing w:after="120" w:before="300"/>
      </w:pPr>
      <w:r>
        <w:rPr>
          <w:b/>
          <w:bCs/>
          <w:color w:val="0B3B6B"/>
          <w:sz w:val="24"/>
          <w:szCs w:val="24"/>
        </w:rPr>
        <w:t xml:space="preserve">1人あたり情報（百万円）</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300"/>
        <w:gridCol w:w="1300"/>
        <w:gridCol w:w="1300"/>
        <w:gridCol w:w="1300"/>
      </w:tblGrid>
      <w:tr>
        <w:trPr>
          <w:tblHeader/>
        </w:trPr>
        <w:tc>
          <w:tcPr>
            <w:tcW w:type="dxa" w:w="3200"/>
            <w:shd w:fill="0B3B6B" w:val="clear"/>
            <w:tcMar>
              <w:top w:type="dxa" w:w="60"/>
              <w:left w:type="dxa" w:w="100"/>
              <w:bottom w:type="dxa" w:w="60"/>
              <w:right w:type="dxa" w:w="100"/>
            </w:tcMar>
            <w:vAlign w:val="center"/>
          </w:tcPr>
          <w:p>
            <w:r>
              <w:rPr>
                <w:b/>
                <w:bCs/>
                <w:color w:val="FFFFFF"/>
                <w:sz w:val="20"/>
                <w:szCs w:val="20"/>
              </w:rPr>
              <w:t xml:space="preserve"/>
            </w:r>
          </w:p>
        </w:tc>
        <w:tc>
          <w:tcPr>
            <w:tcW w:type="dxa" w:w="1300"/>
            <w:shd w:fill="0B3B6B" w:val="clear"/>
            <w:tcMar>
              <w:top w:type="dxa" w:w="60"/>
              <w:left w:type="dxa" w:w="100"/>
              <w:bottom w:type="dxa" w:w="60"/>
              <w:right w:type="dxa" w:w="100"/>
            </w:tcMar>
            <w:vAlign w:val="center"/>
          </w:tcPr>
          <w:p>
            <w:r>
              <w:rPr>
                <w:b/>
                <w:bCs/>
                <w:color w:val="FFFFFF"/>
                <w:sz w:val="20"/>
                <w:szCs w:val="20"/>
              </w:rPr>
              <w:t xml:space="preserve">2020年度</w:t>
            </w:r>
          </w:p>
        </w:tc>
        <w:tc>
          <w:tcPr>
            <w:tcW w:type="dxa" w:w="1300"/>
            <w:shd w:fill="0B3B6B" w:val="clear"/>
            <w:tcMar>
              <w:top w:type="dxa" w:w="60"/>
              <w:left w:type="dxa" w:w="100"/>
              <w:bottom w:type="dxa" w:w="60"/>
              <w:right w:type="dxa" w:w="100"/>
            </w:tcMar>
            <w:vAlign w:val="center"/>
          </w:tcPr>
          <w:p>
            <w:r>
              <w:rPr>
                <w:b/>
                <w:bCs/>
                <w:color w:val="FFFFFF"/>
                <w:sz w:val="20"/>
                <w:szCs w:val="20"/>
              </w:rPr>
              <w:t xml:space="preserve">2021年度</w:t>
            </w:r>
          </w:p>
        </w:tc>
        <w:tc>
          <w:tcPr>
            <w:tcW w:type="dxa" w:w="1300"/>
            <w:shd w:fill="0B3B6B" w:val="clear"/>
            <w:tcMar>
              <w:top w:type="dxa" w:w="60"/>
              <w:left w:type="dxa" w:w="100"/>
              <w:bottom w:type="dxa" w:w="60"/>
              <w:right w:type="dxa" w:w="100"/>
            </w:tcMar>
            <w:vAlign w:val="center"/>
          </w:tcPr>
          <w:p>
            <w:r>
              <w:rPr>
                <w:b/>
                <w:bCs/>
                <w:color w:val="FFFFFF"/>
                <w:sz w:val="20"/>
                <w:szCs w:val="20"/>
              </w:rPr>
              <w:t xml:space="preserve">2022年度</w:t>
            </w:r>
          </w:p>
        </w:tc>
        <w:tc>
          <w:tcPr>
            <w:tcW w:type="dxa" w:w="1300"/>
            <w:shd w:fill="0B3B6B" w:val="clear"/>
            <w:tcMar>
              <w:top w:type="dxa" w:w="60"/>
              <w:left w:type="dxa" w:w="100"/>
              <w:bottom w:type="dxa" w:w="60"/>
              <w:right w:type="dxa" w:w="100"/>
            </w:tcMar>
            <w:vAlign w:val="center"/>
          </w:tcPr>
          <w:p>
            <w:r>
              <w:rPr>
                <w:b/>
                <w:bCs/>
                <w:color w:val="FFFFFF"/>
                <w:sz w:val="20"/>
                <w:szCs w:val="20"/>
              </w:rPr>
              <w:t xml:space="preserve">2023年度</w:t>
            </w:r>
          </w:p>
        </w:tc>
        <w:tc>
          <w:tcPr>
            <w:tcW w:type="dxa" w:w="1300"/>
            <w:shd w:fill="0B3B6B" w:val="clear"/>
            <w:tcMar>
              <w:top w:type="dxa" w:w="60"/>
              <w:left w:type="dxa" w:w="100"/>
              <w:bottom w:type="dxa" w:w="60"/>
              <w:right w:type="dxa" w:w="100"/>
            </w:tcMar>
            <w:vAlign w:val="center"/>
          </w:tcPr>
          <w:p>
            <w:r>
              <w:rPr>
                <w:b/>
                <w:bCs/>
                <w:color w:val="FFFFFF"/>
                <w:sz w:val="20"/>
                <w:szCs w:val="20"/>
              </w:rPr>
              <w:t xml:space="preserve">2024年度</w:t>
            </w:r>
          </w:p>
        </w:tc>
      </w:tr>
      <w:tr>
        <w:tc>
          <w:tcPr>
            <w:tcW w:type="dxa" w:w="3200"/>
            <w:shd w:fill="FFFFFF" w:val="clear"/>
            <w:tcMar>
              <w:top w:type="dxa" w:w="60"/>
              <w:left w:type="dxa" w:w="100"/>
              <w:bottom w:type="dxa" w:w="60"/>
              <w:right w:type="dxa" w:w="100"/>
            </w:tcMar>
            <w:vAlign w:val="center"/>
          </w:tcPr>
          <w:p>
            <w:pPr>
              <w:spacing w:after="40"/>
            </w:pPr>
            <w:r>
              <w:rPr>
                <w:sz w:val="20"/>
                <w:szCs w:val="20"/>
              </w:rPr>
              <w:t xml:space="preserve">1人あたり売上収益</w:t>
            </w:r>
          </w:p>
        </w:tc>
        <w:tc>
          <w:tcPr>
            <w:tcW w:type="dxa" w:w="1300"/>
            <w:shd w:fill="FFFFFF" w:val="clear"/>
            <w:tcMar>
              <w:top w:type="dxa" w:w="60"/>
              <w:left w:type="dxa" w:w="100"/>
              <w:bottom w:type="dxa" w:w="60"/>
              <w:right w:type="dxa" w:w="100"/>
            </w:tcMar>
            <w:vAlign w:val="center"/>
          </w:tcPr>
          <w:p>
            <w:pPr>
              <w:spacing w:after="40"/>
            </w:pPr>
            <w:r>
              <w:rPr>
                <w:sz w:val="20"/>
                <w:szCs w:val="20"/>
              </w:rPr>
              <w:t xml:space="preserve">48</w:t>
            </w:r>
          </w:p>
        </w:tc>
        <w:tc>
          <w:tcPr>
            <w:tcW w:type="dxa" w:w="1300"/>
            <w:shd w:fill="FFFFFF" w:val="clear"/>
            <w:tcMar>
              <w:top w:type="dxa" w:w="60"/>
              <w:left w:type="dxa" w:w="100"/>
              <w:bottom w:type="dxa" w:w="60"/>
              <w:right w:type="dxa" w:w="100"/>
            </w:tcMar>
            <w:vAlign w:val="center"/>
          </w:tcPr>
          <w:p>
            <w:pPr>
              <w:spacing w:after="40"/>
            </w:pPr>
            <w:r>
              <w:rPr>
                <w:sz w:val="20"/>
                <w:szCs w:val="20"/>
              </w:rPr>
              <w:t xml:space="preserve">52</w:t>
            </w:r>
          </w:p>
        </w:tc>
        <w:tc>
          <w:tcPr>
            <w:tcW w:type="dxa" w:w="1300"/>
            <w:shd w:fill="FFFFFF" w:val="clear"/>
            <w:tcMar>
              <w:top w:type="dxa" w:w="60"/>
              <w:left w:type="dxa" w:w="100"/>
              <w:bottom w:type="dxa" w:w="60"/>
              <w:right w:type="dxa" w:w="100"/>
            </w:tcMar>
            <w:vAlign w:val="center"/>
          </w:tcPr>
          <w:p>
            <w:pPr>
              <w:spacing w:after="40"/>
            </w:pPr>
            <w:r>
              <w:rPr>
                <w:sz w:val="20"/>
                <w:szCs w:val="20"/>
              </w:rPr>
              <w:t xml:space="preserve">54</w:t>
            </w:r>
          </w:p>
        </w:tc>
        <w:tc>
          <w:tcPr>
            <w:tcW w:type="dxa" w:w="1300"/>
            <w:shd w:fill="FFFFFF" w:val="clear"/>
            <w:tcMar>
              <w:top w:type="dxa" w:w="60"/>
              <w:left w:type="dxa" w:w="100"/>
              <w:bottom w:type="dxa" w:w="60"/>
              <w:right w:type="dxa" w:w="100"/>
            </w:tcMar>
            <w:vAlign w:val="center"/>
          </w:tcPr>
          <w:p>
            <w:pPr>
              <w:spacing w:after="40"/>
            </w:pPr>
            <w:r>
              <w:rPr>
                <w:sz w:val="20"/>
                <w:szCs w:val="20"/>
              </w:rPr>
              <w:t xml:space="preserve">58</w:t>
            </w:r>
          </w:p>
        </w:tc>
        <w:tc>
          <w:tcPr>
            <w:tcW w:type="dxa" w:w="1300"/>
            <w:shd w:fill="FFFFFF" w:val="clear"/>
            <w:tcMar>
              <w:top w:type="dxa" w:w="60"/>
              <w:left w:type="dxa" w:w="100"/>
              <w:bottom w:type="dxa" w:w="60"/>
              <w:right w:type="dxa" w:w="100"/>
            </w:tcMar>
            <w:vAlign w:val="center"/>
          </w:tcPr>
          <w:p>
            <w:pPr>
              <w:spacing w:after="40"/>
            </w:pPr>
            <w:r>
              <w:rPr>
                <w:sz w:val="20"/>
                <w:szCs w:val="20"/>
              </w:rPr>
              <w:t xml:space="preserve">62</w:t>
            </w:r>
          </w:p>
        </w:tc>
      </w:tr>
      <w:tr>
        <w:tc>
          <w:tcPr>
            <w:tcW w:type="dxa" w:w="3200"/>
            <w:shd w:fill="EAF1F8" w:val="clear"/>
            <w:tcMar>
              <w:top w:type="dxa" w:w="60"/>
              <w:left w:type="dxa" w:w="100"/>
              <w:bottom w:type="dxa" w:w="60"/>
              <w:right w:type="dxa" w:w="100"/>
            </w:tcMar>
            <w:vAlign w:val="center"/>
          </w:tcPr>
          <w:p>
            <w:pPr>
              <w:spacing w:after="40"/>
            </w:pPr>
            <w:r>
              <w:rPr>
                <w:sz w:val="20"/>
                <w:szCs w:val="20"/>
              </w:rPr>
              <w:t xml:space="preserve">1人あたり営業利益</w:t>
            </w:r>
          </w:p>
        </w:tc>
        <w:tc>
          <w:tcPr>
            <w:tcW w:type="dxa" w:w="1300"/>
            <w:shd w:fill="EAF1F8" w:val="clear"/>
            <w:tcMar>
              <w:top w:type="dxa" w:w="60"/>
              <w:left w:type="dxa" w:w="100"/>
              <w:bottom w:type="dxa" w:w="60"/>
              <w:right w:type="dxa" w:w="100"/>
            </w:tcMar>
            <w:vAlign w:val="center"/>
          </w:tcPr>
          <w:p>
            <w:pPr>
              <w:spacing w:after="40"/>
            </w:pPr>
            <w:r>
              <w:rPr>
                <w:sz w:val="20"/>
                <w:szCs w:val="20"/>
              </w:rPr>
              <w:t xml:space="preserve">4.4</w:t>
            </w:r>
          </w:p>
        </w:tc>
        <w:tc>
          <w:tcPr>
            <w:tcW w:type="dxa" w:w="1300"/>
            <w:shd w:fill="EAF1F8" w:val="clear"/>
            <w:tcMar>
              <w:top w:type="dxa" w:w="60"/>
              <w:left w:type="dxa" w:w="100"/>
              <w:bottom w:type="dxa" w:w="60"/>
              <w:right w:type="dxa" w:w="100"/>
            </w:tcMar>
            <w:vAlign w:val="center"/>
          </w:tcPr>
          <w:p>
            <w:pPr>
              <w:spacing w:after="40"/>
            </w:pPr>
            <w:r>
              <w:rPr>
                <w:sz w:val="20"/>
                <w:szCs w:val="20"/>
              </w:rPr>
              <w:t xml:space="preserve">5.0</w:t>
            </w:r>
          </w:p>
        </w:tc>
        <w:tc>
          <w:tcPr>
            <w:tcW w:type="dxa" w:w="1300"/>
            <w:shd w:fill="EAF1F8" w:val="clear"/>
            <w:tcMar>
              <w:top w:type="dxa" w:w="60"/>
              <w:left w:type="dxa" w:w="100"/>
              <w:bottom w:type="dxa" w:w="60"/>
              <w:right w:type="dxa" w:w="100"/>
            </w:tcMar>
            <w:vAlign w:val="center"/>
          </w:tcPr>
          <w:p>
            <w:pPr>
              <w:spacing w:after="40"/>
            </w:pPr>
            <w:r>
              <w:rPr>
                <w:sz w:val="20"/>
                <w:szCs w:val="20"/>
              </w:rPr>
              <w:t xml:space="preserve">4.4</w:t>
            </w:r>
          </w:p>
        </w:tc>
        <w:tc>
          <w:tcPr>
            <w:tcW w:type="dxa" w:w="1300"/>
            <w:shd w:fill="EAF1F8" w:val="clear"/>
            <w:tcMar>
              <w:top w:type="dxa" w:w="60"/>
              <w:left w:type="dxa" w:w="100"/>
              <w:bottom w:type="dxa" w:w="60"/>
              <w:right w:type="dxa" w:w="100"/>
            </w:tcMar>
            <w:vAlign w:val="center"/>
          </w:tcPr>
          <w:p>
            <w:pPr>
              <w:spacing w:after="40"/>
            </w:pPr>
            <w:r>
              <w:rPr>
                <w:sz w:val="20"/>
                <w:szCs w:val="20"/>
              </w:rPr>
              <w:t xml:space="preserve">5.2</w:t>
            </w:r>
          </w:p>
        </w:tc>
        <w:tc>
          <w:tcPr>
            <w:tcW w:type="dxa" w:w="1300"/>
            <w:shd w:fill="EAF1F8" w:val="clear"/>
            <w:tcMar>
              <w:top w:type="dxa" w:w="60"/>
              <w:left w:type="dxa" w:w="100"/>
              <w:bottom w:type="dxa" w:w="60"/>
              <w:right w:type="dxa" w:w="100"/>
            </w:tcMar>
            <w:vAlign w:val="center"/>
          </w:tcPr>
          <w:p>
            <w:pPr>
              <w:spacing w:after="40"/>
            </w:pPr>
            <w:r>
              <w:rPr>
                <w:sz w:val="20"/>
                <w:szCs w:val="20"/>
              </w:rPr>
              <w:t xml:space="preserve">5.8</w:t>
            </w:r>
          </w:p>
        </w:tc>
      </w:tr>
    </w:tbl>
    <w:p>
      <w:pPr>
        <w:pStyle w:val="Heading1"/>
        <w:pBdr>
          <w:bottom w:val="single" w:color="0B3B6B" w:sz="8" w:space="4"/>
        </w:pBdr>
        <w:spacing w:after="200" w:before="400"/>
      </w:pPr>
      <w:r>
        <w:rPr>
          <w:b/>
          <w:bCs/>
          <w:color w:val="0B3B6B"/>
          <w:sz w:val="30"/>
          <w:szCs w:val="30"/>
        </w:rPr>
        <w:t xml:space="preserve">10. 人的資本データ・働き方</w:t>
      </w:r>
    </w:p>
    <w:p>
      <w:pPr>
        <w:pStyle w:val="Heading2"/>
        <w:spacing w:after="120" w:before="300"/>
      </w:pPr>
      <w:r>
        <w:rPr>
          <w:b/>
          <w:bCs/>
          <w:color w:val="0B3B6B"/>
          <w:sz w:val="24"/>
          <w:szCs w:val="24"/>
        </w:rPr>
        <w:t xml:space="preserve">人員構成（単体、2024年度末時点：5,714名）</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6900"/>
      </w:tblGrid>
      <w:tr>
        <w:trPr>
          <w:tblHeader/>
        </w:trPr>
        <w:tc>
          <w:tcPr>
            <w:tcW w:type="dxa" w:w="3000"/>
            <w:shd w:fill="0B3B6B" w:val="clear"/>
            <w:tcMar>
              <w:top w:type="dxa" w:w="60"/>
              <w:left w:type="dxa" w:w="100"/>
              <w:bottom w:type="dxa" w:w="60"/>
              <w:right w:type="dxa" w:w="100"/>
            </w:tcMar>
            <w:vAlign w:val="center"/>
          </w:tcPr>
          <w:p>
            <w:r>
              <w:rPr>
                <w:b/>
                <w:bCs/>
                <w:color w:val="FFFFFF"/>
                <w:sz w:val="20"/>
                <w:szCs w:val="20"/>
              </w:rPr>
              <w:t xml:space="preserve">区分</w:t>
            </w:r>
          </w:p>
        </w:tc>
        <w:tc>
          <w:tcPr>
            <w:tcW w:type="dxa" w:w="6900"/>
            <w:shd w:fill="0B3B6B" w:val="clear"/>
            <w:tcMar>
              <w:top w:type="dxa" w:w="60"/>
              <w:left w:type="dxa" w:w="100"/>
              <w:bottom w:type="dxa" w:w="60"/>
              <w:right w:type="dxa" w:w="100"/>
            </w:tcMar>
            <w:vAlign w:val="center"/>
          </w:tcPr>
          <w:p>
            <w:r>
              <w:rPr>
                <w:b/>
                <w:bCs/>
                <w:color w:val="FFFFFF"/>
                <w:sz w:val="20"/>
                <w:szCs w:val="20"/>
              </w:rPr>
              <w:t xml:space="preserve">内訳</w:t>
            </w:r>
          </w:p>
        </w:tc>
      </w:tr>
      <w:tr>
        <w:tc>
          <w:tcPr>
            <w:tcW w:type="dxa" w:w="3000"/>
            <w:shd w:fill="FFFFFF" w:val="clear"/>
            <w:tcMar>
              <w:top w:type="dxa" w:w="60"/>
              <w:left w:type="dxa" w:w="100"/>
              <w:bottom w:type="dxa" w:w="60"/>
              <w:right w:type="dxa" w:w="100"/>
            </w:tcMar>
            <w:vAlign w:val="center"/>
          </w:tcPr>
          <w:p>
            <w:pPr>
              <w:spacing w:after="40"/>
            </w:pPr>
            <w:r>
              <w:rPr>
                <w:sz w:val="20"/>
                <w:szCs w:val="20"/>
              </w:rPr>
              <w:t xml:space="preserve">職種別</w:t>
            </w:r>
          </w:p>
        </w:tc>
        <w:tc>
          <w:tcPr>
            <w:tcW w:type="dxa" w:w="6900"/>
            <w:shd w:fill="FFFFFF" w:val="clear"/>
            <w:tcMar>
              <w:top w:type="dxa" w:w="60"/>
              <w:left w:type="dxa" w:w="100"/>
              <w:bottom w:type="dxa" w:w="60"/>
              <w:right w:type="dxa" w:w="100"/>
            </w:tcMar>
            <w:vAlign w:val="center"/>
          </w:tcPr>
          <w:p>
            <w:pPr>
              <w:spacing w:after="40"/>
            </w:pPr>
            <w:r>
              <w:rPr>
                <w:sz w:val="20"/>
                <w:szCs w:val="20"/>
              </w:rPr>
              <w:t xml:space="preserve">エンジニア67%／営業23%／コーポレートスタッフ10%</w:t>
            </w:r>
          </w:p>
        </w:tc>
      </w:tr>
      <w:tr>
        <w:tc>
          <w:tcPr>
            <w:tcW w:type="dxa" w:w="3000"/>
            <w:shd w:fill="EAF1F8" w:val="clear"/>
            <w:tcMar>
              <w:top w:type="dxa" w:w="60"/>
              <w:left w:type="dxa" w:w="100"/>
              <w:bottom w:type="dxa" w:w="60"/>
              <w:right w:type="dxa" w:w="100"/>
            </w:tcMar>
            <w:vAlign w:val="center"/>
          </w:tcPr>
          <w:p>
            <w:pPr>
              <w:spacing w:after="40"/>
            </w:pPr>
            <w:r>
              <w:rPr>
                <w:sz w:val="20"/>
                <w:szCs w:val="20"/>
              </w:rPr>
              <w:t xml:space="preserve">新卒・キャリア採用比率</w:t>
            </w:r>
          </w:p>
        </w:tc>
        <w:tc>
          <w:tcPr>
            <w:tcW w:type="dxa" w:w="6900"/>
            <w:shd w:fill="EAF1F8" w:val="clear"/>
            <w:tcMar>
              <w:top w:type="dxa" w:w="60"/>
              <w:left w:type="dxa" w:w="100"/>
              <w:bottom w:type="dxa" w:w="60"/>
              <w:right w:type="dxa" w:w="100"/>
            </w:tcMar>
            <w:vAlign w:val="center"/>
          </w:tcPr>
          <w:p>
            <w:pPr>
              <w:spacing w:after="40"/>
            </w:pPr>
            <w:r>
              <w:rPr>
                <w:sz w:val="20"/>
                <w:szCs w:val="20"/>
              </w:rPr>
              <w:t xml:space="preserve">キャリア採用52%／新卒採用48%</w:t>
            </w:r>
          </w:p>
        </w:tc>
      </w:tr>
      <w:tr>
        <w:tc>
          <w:tcPr>
            <w:tcW w:type="dxa" w:w="3000"/>
            <w:shd w:fill="FFFFFF" w:val="clear"/>
            <w:tcMar>
              <w:top w:type="dxa" w:w="60"/>
              <w:left w:type="dxa" w:w="100"/>
              <w:bottom w:type="dxa" w:w="60"/>
              <w:right w:type="dxa" w:w="100"/>
            </w:tcMar>
            <w:vAlign w:val="center"/>
          </w:tcPr>
          <w:p>
            <w:pPr>
              <w:spacing w:after="40"/>
            </w:pPr>
            <w:r>
              <w:rPr>
                <w:sz w:val="20"/>
                <w:szCs w:val="20"/>
              </w:rPr>
              <w:t xml:space="preserve">男女別</w:t>
            </w:r>
          </w:p>
        </w:tc>
        <w:tc>
          <w:tcPr>
            <w:tcW w:type="dxa" w:w="6900"/>
            <w:shd w:fill="FFFFFF" w:val="clear"/>
            <w:tcMar>
              <w:top w:type="dxa" w:w="60"/>
              <w:left w:type="dxa" w:w="100"/>
              <w:bottom w:type="dxa" w:w="60"/>
              <w:right w:type="dxa" w:w="100"/>
            </w:tcMar>
            <w:vAlign w:val="center"/>
          </w:tcPr>
          <w:p>
            <w:pPr>
              <w:spacing w:after="40"/>
            </w:pPr>
            <w:r>
              <w:rPr>
                <w:sz w:val="20"/>
                <w:szCs w:val="20"/>
              </w:rPr>
              <w:t xml:space="preserve">男性80%／女性20%</w:t>
            </w:r>
          </w:p>
        </w:tc>
      </w:tr>
      <w:tr>
        <w:tc>
          <w:tcPr>
            <w:tcW w:type="dxa" w:w="3000"/>
            <w:shd w:fill="EAF1F8" w:val="clear"/>
            <w:tcMar>
              <w:top w:type="dxa" w:w="60"/>
              <w:left w:type="dxa" w:w="100"/>
              <w:bottom w:type="dxa" w:w="60"/>
              <w:right w:type="dxa" w:w="100"/>
            </w:tcMar>
            <w:vAlign w:val="center"/>
          </w:tcPr>
          <w:p>
            <w:pPr>
              <w:spacing w:after="40"/>
            </w:pPr>
            <w:r>
              <w:rPr>
                <w:sz w:val="20"/>
                <w:szCs w:val="20"/>
              </w:rPr>
              <w:t xml:space="preserve">年齢別</w:t>
            </w:r>
          </w:p>
        </w:tc>
        <w:tc>
          <w:tcPr>
            <w:tcW w:type="dxa" w:w="6900"/>
            <w:shd w:fill="EAF1F8" w:val="clear"/>
            <w:tcMar>
              <w:top w:type="dxa" w:w="60"/>
              <w:left w:type="dxa" w:w="100"/>
              <w:bottom w:type="dxa" w:w="60"/>
              <w:right w:type="dxa" w:w="100"/>
            </w:tcMar>
            <w:vAlign w:val="center"/>
          </w:tcPr>
          <w:p>
            <w:pPr>
              <w:spacing w:after="40"/>
            </w:pPr>
            <w:r>
              <w:rPr>
                <w:sz w:val="20"/>
                <w:szCs w:val="20"/>
              </w:rPr>
              <w:t xml:space="preserve">30歳未満22%／30代23%／40代30%／50代20%／60代5%</w:t>
            </w:r>
          </w:p>
        </w:tc>
      </w:tr>
      <w:tr>
        <w:tc>
          <w:tcPr>
            <w:tcW w:type="dxa" w:w="3000"/>
            <w:shd w:fill="FFFFFF" w:val="clear"/>
            <w:tcMar>
              <w:top w:type="dxa" w:w="60"/>
              <w:left w:type="dxa" w:w="100"/>
              <w:bottom w:type="dxa" w:w="60"/>
              <w:right w:type="dxa" w:w="100"/>
            </w:tcMar>
            <w:vAlign w:val="center"/>
          </w:tcPr>
          <w:p>
            <w:pPr>
              <w:spacing w:after="40"/>
            </w:pPr>
            <w:r>
              <w:rPr>
                <w:sz w:val="20"/>
                <w:szCs w:val="20"/>
              </w:rPr>
              <w:t xml:space="preserve">平均勤続年数</w:t>
            </w:r>
          </w:p>
        </w:tc>
        <w:tc>
          <w:tcPr>
            <w:tcW w:type="dxa" w:w="6900"/>
            <w:shd w:fill="FFFFFF" w:val="clear"/>
            <w:tcMar>
              <w:top w:type="dxa" w:w="60"/>
              <w:left w:type="dxa" w:w="100"/>
              <w:bottom w:type="dxa" w:w="60"/>
              <w:right w:type="dxa" w:w="100"/>
            </w:tcMar>
            <w:vAlign w:val="center"/>
          </w:tcPr>
          <w:p>
            <w:pPr>
              <w:spacing w:after="40"/>
            </w:pPr>
            <w:r>
              <w:rPr>
                <w:sz w:val="20"/>
                <w:szCs w:val="20"/>
              </w:rPr>
              <w:t xml:space="preserve">12.8年</w:t>
            </w:r>
          </w:p>
        </w:tc>
      </w:tr>
      <w:tr>
        <w:tc>
          <w:tcPr>
            <w:tcW w:type="dxa" w:w="3000"/>
            <w:shd w:fill="EAF1F8" w:val="clear"/>
            <w:tcMar>
              <w:top w:type="dxa" w:w="60"/>
              <w:left w:type="dxa" w:w="100"/>
              <w:bottom w:type="dxa" w:w="60"/>
              <w:right w:type="dxa" w:w="100"/>
            </w:tcMar>
            <w:vAlign w:val="center"/>
          </w:tcPr>
          <w:p>
            <w:pPr>
              <w:spacing w:after="40"/>
            </w:pPr>
            <w:r>
              <w:rPr>
                <w:sz w:val="20"/>
                <w:szCs w:val="20"/>
              </w:rPr>
              <w:t xml:space="preserve">全社離職率（自己都合退職者）</w:t>
            </w:r>
          </w:p>
        </w:tc>
        <w:tc>
          <w:tcPr>
            <w:tcW w:type="dxa" w:w="6900"/>
            <w:shd w:fill="EAF1F8" w:val="clear"/>
            <w:tcMar>
              <w:top w:type="dxa" w:w="60"/>
              <w:left w:type="dxa" w:w="100"/>
              <w:bottom w:type="dxa" w:w="60"/>
              <w:right w:type="dxa" w:w="100"/>
            </w:tcMar>
            <w:vAlign w:val="center"/>
          </w:tcPr>
          <w:p>
            <w:pPr>
              <w:spacing w:after="40"/>
            </w:pPr>
            <w:r>
              <w:rPr>
                <w:sz w:val="20"/>
                <w:szCs w:val="20"/>
              </w:rPr>
              <w:t xml:space="preserve">2.2%</w:t>
            </w:r>
          </w:p>
        </w:tc>
      </w:tr>
      <w:tr>
        <w:tc>
          <w:tcPr>
            <w:tcW w:type="dxa" w:w="3000"/>
            <w:shd w:fill="FFFFFF" w:val="clear"/>
            <w:tcMar>
              <w:top w:type="dxa" w:w="60"/>
              <w:left w:type="dxa" w:w="100"/>
              <w:bottom w:type="dxa" w:w="60"/>
              <w:right w:type="dxa" w:w="100"/>
            </w:tcMar>
            <w:vAlign w:val="center"/>
          </w:tcPr>
          <w:p>
            <w:pPr>
              <w:spacing w:after="40"/>
            </w:pPr>
            <w:r>
              <w:rPr>
                <w:sz w:val="20"/>
                <w:szCs w:val="20"/>
              </w:rPr>
              <w:t xml:space="preserve">平均年休取得日数</w:t>
            </w:r>
          </w:p>
        </w:tc>
        <w:tc>
          <w:tcPr>
            <w:tcW w:type="dxa" w:w="6900"/>
            <w:shd w:fill="FFFFFF" w:val="clear"/>
            <w:tcMar>
              <w:top w:type="dxa" w:w="60"/>
              <w:left w:type="dxa" w:w="100"/>
              <w:bottom w:type="dxa" w:w="60"/>
              <w:right w:type="dxa" w:w="100"/>
            </w:tcMar>
            <w:vAlign w:val="center"/>
          </w:tcPr>
          <w:p>
            <w:pPr>
              <w:spacing w:after="40"/>
            </w:pPr>
            <w:r>
              <w:rPr>
                <w:sz w:val="20"/>
                <w:szCs w:val="20"/>
              </w:rPr>
              <w:t xml:space="preserve">13.5日</w:t>
            </w:r>
          </w:p>
        </w:tc>
      </w:tr>
      <w:tr>
        <w:tc>
          <w:tcPr>
            <w:tcW w:type="dxa" w:w="3000"/>
            <w:shd w:fill="EAF1F8" w:val="clear"/>
            <w:tcMar>
              <w:top w:type="dxa" w:w="60"/>
              <w:left w:type="dxa" w:w="100"/>
              <w:bottom w:type="dxa" w:w="60"/>
              <w:right w:type="dxa" w:w="100"/>
            </w:tcMar>
            <w:vAlign w:val="center"/>
          </w:tcPr>
          <w:p>
            <w:pPr>
              <w:spacing w:after="40"/>
            </w:pPr>
            <w:r>
              <w:rPr>
                <w:sz w:val="20"/>
                <w:szCs w:val="20"/>
              </w:rPr>
              <w:t xml:space="preserve">従業員1人あたり月間平均残業時間</w:t>
            </w:r>
          </w:p>
        </w:tc>
        <w:tc>
          <w:tcPr>
            <w:tcW w:type="dxa" w:w="6900"/>
            <w:shd w:fill="EAF1F8" w:val="clear"/>
            <w:tcMar>
              <w:top w:type="dxa" w:w="60"/>
              <w:left w:type="dxa" w:w="100"/>
              <w:bottom w:type="dxa" w:w="60"/>
              <w:right w:type="dxa" w:w="100"/>
            </w:tcMar>
            <w:vAlign w:val="center"/>
          </w:tcPr>
          <w:p>
            <w:pPr>
              <w:spacing w:after="40"/>
            </w:pPr>
            <w:r>
              <w:rPr>
                <w:sz w:val="20"/>
                <w:szCs w:val="20"/>
              </w:rPr>
              <w:t xml:space="preserve">12時間</w:t>
            </w:r>
          </w:p>
        </w:tc>
      </w:tr>
      <w:tr>
        <w:tc>
          <w:tcPr>
            <w:tcW w:type="dxa" w:w="3000"/>
            <w:shd w:fill="FFFFFF" w:val="clear"/>
            <w:tcMar>
              <w:top w:type="dxa" w:w="60"/>
              <w:left w:type="dxa" w:w="100"/>
              <w:bottom w:type="dxa" w:w="60"/>
              <w:right w:type="dxa" w:w="100"/>
            </w:tcMar>
            <w:vAlign w:val="center"/>
          </w:tcPr>
          <w:p>
            <w:pPr>
              <w:spacing w:after="40"/>
            </w:pPr>
            <w:r>
              <w:rPr>
                <w:sz w:val="20"/>
                <w:szCs w:val="20"/>
              </w:rPr>
              <w:t xml:space="preserve">平均年収（2024年度、現職正社員）</w:t>
            </w:r>
          </w:p>
        </w:tc>
        <w:tc>
          <w:tcPr>
            <w:tcW w:type="dxa" w:w="6900"/>
            <w:shd w:fill="FFFFFF" w:val="clear"/>
            <w:tcMar>
              <w:top w:type="dxa" w:w="60"/>
              <w:left w:type="dxa" w:w="100"/>
              <w:bottom w:type="dxa" w:w="60"/>
              <w:right w:type="dxa" w:w="100"/>
            </w:tcMar>
            <w:vAlign w:val="center"/>
          </w:tcPr>
          <w:p>
            <w:pPr>
              <w:spacing w:after="40"/>
            </w:pPr>
            <w:r>
              <w:rPr>
                <w:sz w:val="20"/>
                <w:szCs w:val="20"/>
              </w:rPr>
              <w:t xml:space="preserve">10,900,966円</w:t>
            </w:r>
          </w:p>
        </w:tc>
      </w:tr>
    </w:tbl>
    <w:p>
      <w:pPr>
        <w:spacing w:after="120"/>
      </w:pPr>
    </w:p>
    <w:p>
      <w:pPr>
        <w:pStyle w:val="Heading2"/>
        <w:spacing w:after="120" w:before="300"/>
      </w:pPr>
      <w:r>
        <w:rPr>
          <w:b/>
          <w:bCs/>
          <w:color w:val="0B3B6B"/>
          <w:sz w:val="24"/>
          <w:szCs w:val="24"/>
        </w:rPr>
        <w:t xml:space="preserve">新卒初任給（2026年度入社、Grow＋手当含む）</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500"/>
        <w:gridCol w:w="4400"/>
      </w:tblGrid>
      <w:tr>
        <w:trPr>
          <w:tblHeader/>
        </w:trPr>
        <w:tc>
          <w:tcPr>
            <w:tcW w:type="dxa" w:w="4500"/>
            <w:shd w:fill="0B3B6B" w:val="clear"/>
            <w:tcMar>
              <w:top w:type="dxa" w:w="60"/>
              <w:left w:type="dxa" w:w="100"/>
              <w:bottom w:type="dxa" w:w="60"/>
              <w:right w:type="dxa" w:w="100"/>
            </w:tcMar>
            <w:vAlign w:val="center"/>
          </w:tcPr>
          <w:p>
            <w:r>
              <w:rPr>
                <w:b/>
                <w:bCs/>
                <w:color w:val="FFFFFF"/>
                <w:sz w:val="20"/>
                <w:szCs w:val="20"/>
              </w:rPr>
              <w:t xml:space="preserve">区分</w:t>
            </w:r>
          </w:p>
        </w:tc>
        <w:tc>
          <w:tcPr>
            <w:tcW w:type="dxa" w:w="4400"/>
            <w:shd w:fill="0B3B6B" w:val="clear"/>
            <w:tcMar>
              <w:top w:type="dxa" w:w="60"/>
              <w:left w:type="dxa" w:w="100"/>
              <w:bottom w:type="dxa" w:w="60"/>
              <w:right w:type="dxa" w:w="100"/>
            </w:tcMar>
            <w:vAlign w:val="center"/>
          </w:tcPr>
          <w:p>
            <w:r>
              <w:rPr>
                <w:b/>
                <w:bCs/>
                <w:color w:val="FFFFFF"/>
                <w:sz w:val="20"/>
                <w:szCs w:val="20"/>
              </w:rPr>
              <w:t xml:space="preserve">金額</w:t>
            </w:r>
          </w:p>
        </w:tc>
      </w:tr>
      <w:tr>
        <w:tc>
          <w:tcPr>
            <w:tcW w:type="dxa" w:w="4500"/>
            <w:shd w:fill="FFFFFF" w:val="clear"/>
            <w:tcMar>
              <w:top w:type="dxa" w:w="60"/>
              <w:left w:type="dxa" w:w="100"/>
              <w:bottom w:type="dxa" w:w="60"/>
              <w:right w:type="dxa" w:w="100"/>
            </w:tcMar>
            <w:vAlign w:val="center"/>
          </w:tcPr>
          <w:p>
            <w:pPr>
              <w:spacing w:after="40"/>
            </w:pPr>
            <w:r>
              <w:rPr>
                <w:sz w:val="20"/>
                <w:szCs w:val="20"/>
              </w:rPr>
              <w:t xml:space="preserve">修士卒</w:t>
            </w:r>
          </w:p>
        </w:tc>
        <w:tc>
          <w:tcPr>
            <w:tcW w:type="dxa" w:w="4400"/>
            <w:shd w:fill="FFFFFF" w:val="clear"/>
            <w:tcMar>
              <w:top w:type="dxa" w:w="60"/>
              <w:left w:type="dxa" w:w="100"/>
              <w:bottom w:type="dxa" w:w="60"/>
              <w:right w:type="dxa" w:w="100"/>
            </w:tcMar>
            <w:vAlign w:val="center"/>
          </w:tcPr>
          <w:p>
            <w:pPr>
              <w:spacing w:after="40"/>
            </w:pPr>
            <w:r>
              <w:rPr>
                <w:sz w:val="20"/>
                <w:szCs w:val="20"/>
              </w:rPr>
              <w:t xml:space="preserve">321,100円</w:t>
            </w:r>
          </w:p>
        </w:tc>
      </w:tr>
      <w:tr>
        <w:tc>
          <w:tcPr>
            <w:tcW w:type="dxa" w:w="4500"/>
            <w:shd w:fill="EAF1F8" w:val="clear"/>
            <w:tcMar>
              <w:top w:type="dxa" w:w="60"/>
              <w:left w:type="dxa" w:w="100"/>
              <w:bottom w:type="dxa" w:w="60"/>
              <w:right w:type="dxa" w:w="100"/>
            </w:tcMar>
            <w:vAlign w:val="center"/>
          </w:tcPr>
          <w:p>
            <w:pPr>
              <w:spacing w:after="40"/>
            </w:pPr>
            <w:r>
              <w:rPr>
                <w:sz w:val="20"/>
                <w:szCs w:val="20"/>
              </w:rPr>
              <w:t xml:space="preserve">学士・高専専攻科卒</w:t>
            </w:r>
          </w:p>
        </w:tc>
        <w:tc>
          <w:tcPr>
            <w:tcW w:type="dxa" w:w="4400"/>
            <w:shd w:fill="EAF1F8" w:val="clear"/>
            <w:tcMar>
              <w:top w:type="dxa" w:w="60"/>
              <w:left w:type="dxa" w:w="100"/>
              <w:bottom w:type="dxa" w:w="60"/>
              <w:right w:type="dxa" w:w="100"/>
            </w:tcMar>
            <w:vAlign w:val="center"/>
          </w:tcPr>
          <w:p>
            <w:pPr>
              <w:spacing w:after="40"/>
            </w:pPr>
            <w:r>
              <w:rPr>
                <w:sz w:val="20"/>
                <w:szCs w:val="20"/>
              </w:rPr>
              <w:t xml:space="preserve">301,500円</w:t>
            </w:r>
          </w:p>
        </w:tc>
      </w:tr>
      <w:tr>
        <w:tc>
          <w:tcPr>
            <w:tcW w:type="dxa" w:w="4500"/>
            <w:shd w:fill="FFFFFF" w:val="clear"/>
            <w:tcMar>
              <w:top w:type="dxa" w:w="60"/>
              <w:left w:type="dxa" w:w="100"/>
              <w:bottom w:type="dxa" w:w="60"/>
              <w:right w:type="dxa" w:w="100"/>
            </w:tcMar>
            <w:vAlign w:val="center"/>
          </w:tcPr>
          <w:p>
            <w:pPr>
              <w:spacing w:after="40"/>
            </w:pPr>
            <w:r>
              <w:rPr>
                <w:sz w:val="20"/>
                <w:szCs w:val="20"/>
              </w:rPr>
              <w:t xml:space="preserve">高専本科卒</w:t>
            </w:r>
          </w:p>
        </w:tc>
        <w:tc>
          <w:tcPr>
            <w:tcW w:type="dxa" w:w="4400"/>
            <w:shd w:fill="FFFFFF" w:val="clear"/>
            <w:tcMar>
              <w:top w:type="dxa" w:w="60"/>
              <w:left w:type="dxa" w:w="100"/>
              <w:bottom w:type="dxa" w:w="60"/>
              <w:right w:type="dxa" w:w="100"/>
            </w:tcMar>
            <w:vAlign w:val="center"/>
          </w:tcPr>
          <w:p>
            <w:pPr>
              <w:spacing w:after="40"/>
            </w:pPr>
            <w:r>
              <w:rPr>
                <w:sz w:val="20"/>
                <w:szCs w:val="20"/>
              </w:rPr>
              <w:t xml:space="preserve">279,100円</w:t>
            </w:r>
          </w:p>
        </w:tc>
      </w:tr>
    </w:tbl>
    <w:p>
      <w:pPr>
        <w:spacing w:after="120"/>
      </w:pPr>
    </w:p>
    <w:p>
      <w:pPr>
        <w:spacing w:after="120" w:line="300"/>
      </w:pPr>
      <w:r>
        <w:rPr>
          <w:sz w:val="21"/>
          <w:szCs w:val="21"/>
        </w:rPr>
        <w:t xml:space="preserve">その他手当：Grow＋手当（新卒1〜2年目 月額6,000円、新卒3年目 月額3,000円、2026年4月から導入）、家賃補助（月額35,000円、対象は2026年4月以降入社の賃貸居住の独身世帯主）、自立支援一時金（家賃補助適用者のうち入社に伴う転居を行った場合に1回限り500,000円支給）。</w:t>
      </w:r>
    </w:p>
    <w:p>
      <w:pPr>
        <w:pStyle w:val="Heading2"/>
        <w:spacing w:after="120" w:before="300"/>
      </w:pPr>
      <w:r>
        <w:rPr>
          <w:b/>
          <w:bCs/>
          <w:color w:val="0B3B6B"/>
          <w:sz w:val="24"/>
          <w:szCs w:val="24"/>
        </w:rPr>
        <w:t xml:space="preserve">ダイバーシティ・女性活躍推進</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3000"/>
      </w:tblGrid>
      <w:tr>
        <w:trPr>
          <w:tblHeader/>
        </w:trPr>
        <w:tc>
          <w:tcPr>
            <w:tcW w:type="dxa" w:w="3600"/>
            <w:shd w:fill="0B3B6B" w:val="clear"/>
            <w:tcMar>
              <w:top w:type="dxa" w:w="60"/>
              <w:left w:type="dxa" w:w="100"/>
              <w:bottom w:type="dxa" w:w="60"/>
              <w:right w:type="dxa" w:w="100"/>
            </w:tcMar>
            <w:vAlign w:val="center"/>
          </w:tcPr>
          <w:p>
            <w:r>
              <w:rPr>
                <w:b/>
                <w:bCs/>
                <w:color w:val="FFFFFF"/>
                <w:sz w:val="20"/>
                <w:szCs w:val="20"/>
              </w:rPr>
              <w:t xml:space="preserve">指標</w:t>
            </w:r>
          </w:p>
        </w:tc>
        <w:tc>
          <w:tcPr>
            <w:tcW w:type="dxa" w:w="3300"/>
            <w:shd w:fill="0B3B6B" w:val="clear"/>
            <w:tcMar>
              <w:top w:type="dxa" w:w="60"/>
              <w:left w:type="dxa" w:w="100"/>
              <w:bottom w:type="dxa" w:w="60"/>
              <w:right w:type="dxa" w:w="100"/>
            </w:tcMar>
            <w:vAlign w:val="center"/>
          </w:tcPr>
          <w:p>
            <w:r>
              <w:rPr>
                <w:b/>
                <w:bCs/>
                <w:color w:val="FFFFFF"/>
                <w:sz w:val="20"/>
                <w:szCs w:val="20"/>
              </w:rPr>
              <w:t xml:space="preserve">数値</w:t>
            </w:r>
          </w:p>
        </w:tc>
        <w:tc>
          <w:tcPr>
            <w:tcW w:type="dxa" w:w="3000"/>
            <w:shd w:fill="0B3B6B" w:val="clear"/>
            <w:tcMar>
              <w:top w:type="dxa" w:w="60"/>
              <w:left w:type="dxa" w:w="100"/>
              <w:bottom w:type="dxa" w:w="60"/>
              <w:right w:type="dxa" w:w="100"/>
            </w:tcMar>
            <w:vAlign w:val="center"/>
          </w:tcPr>
          <w:p>
            <w:r>
              <w:rPr>
                <w:b/>
                <w:bCs/>
                <w:color w:val="FFFFFF"/>
                <w:sz w:val="20"/>
                <w:szCs w:val="20"/>
              </w:rPr>
              <w:t xml:space="preserve">時点</w:t>
            </w:r>
          </w:p>
        </w:tc>
      </w:tr>
      <w:tr>
        <w:tc>
          <w:tcPr>
            <w:tcW w:type="dxa" w:w="3600"/>
            <w:shd w:fill="FFFFFF" w:val="clear"/>
            <w:tcMar>
              <w:top w:type="dxa" w:w="60"/>
              <w:left w:type="dxa" w:w="100"/>
              <w:bottom w:type="dxa" w:w="60"/>
              <w:right w:type="dxa" w:w="100"/>
            </w:tcMar>
            <w:vAlign w:val="center"/>
          </w:tcPr>
          <w:p>
            <w:pPr>
              <w:spacing w:after="40"/>
            </w:pPr>
            <w:r>
              <w:rPr>
                <w:sz w:val="20"/>
                <w:szCs w:val="20"/>
              </w:rPr>
              <w:t xml:space="preserve">新卒採用女性比率</w:t>
            </w:r>
          </w:p>
        </w:tc>
        <w:tc>
          <w:tcPr>
            <w:tcW w:type="dxa" w:w="3300"/>
            <w:shd w:fill="FFFFFF" w:val="clear"/>
            <w:tcMar>
              <w:top w:type="dxa" w:w="60"/>
              <w:left w:type="dxa" w:w="100"/>
              <w:bottom w:type="dxa" w:w="60"/>
              <w:right w:type="dxa" w:w="100"/>
            </w:tcMar>
            <w:vAlign w:val="center"/>
          </w:tcPr>
          <w:p>
            <w:pPr>
              <w:spacing w:after="40"/>
            </w:pPr>
            <w:r>
              <w:rPr>
                <w:sz w:val="20"/>
                <w:szCs w:val="20"/>
              </w:rPr>
              <w:t xml:space="preserve">38%（2023年度35%から上昇）</w:t>
            </w:r>
          </w:p>
        </w:tc>
        <w:tc>
          <w:tcPr>
            <w:tcW w:type="dxa" w:w="3000"/>
            <w:shd w:fill="FFFFFF" w:val="clear"/>
            <w:tcMar>
              <w:top w:type="dxa" w:w="60"/>
              <w:left w:type="dxa" w:w="100"/>
              <w:bottom w:type="dxa" w:w="60"/>
              <w:right w:type="dxa" w:w="100"/>
            </w:tcMar>
            <w:vAlign w:val="center"/>
          </w:tcPr>
          <w:p>
            <w:pPr>
              <w:spacing w:after="40"/>
            </w:pPr>
            <w:r>
              <w:rPr>
                <w:sz w:val="20"/>
                <w:szCs w:val="20"/>
              </w:rPr>
              <w:t xml:space="preserve">2024年度</w:t>
            </w:r>
          </w:p>
        </w:tc>
      </w:tr>
      <w:tr>
        <w:tc>
          <w:tcPr>
            <w:tcW w:type="dxa" w:w="3600"/>
            <w:shd w:fill="EAF1F8" w:val="clear"/>
            <w:tcMar>
              <w:top w:type="dxa" w:w="60"/>
              <w:left w:type="dxa" w:w="100"/>
              <w:bottom w:type="dxa" w:w="60"/>
              <w:right w:type="dxa" w:w="100"/>
            </w:tcMar>
            <w:vAlign w:val="center"/>
          </w:tcPr>
          <w:p>
            <w:pPr>
              <w:spacing w:after="40"/>
            </w:pPr>
            <w:r>
              <w:rPr>
                <w:sz w:val="20"/>
                <w:szCs w:val="20"/>
              </w:rPr>
              <w:t xml:space="preserve">管理職層女性人数</w:t>
            </w:r>
          </w:p>
        </w:tc>
        <w:tc>
          <w:tcPr>
            <w:tcW w:type="dxa" w:w="3300"/>
            <w:shd w:fill="EAF1F8" w:val="clear"/>
            <w:tcMar>
              <w:top w:type="dxa" w:w="60"/>
              <w:left w:type="dxa" w:w="100"/>
              <w:bottom w:type="dxa" w:w="60"/>
              <w:right w:type="dxa" w:w="100"/>
            </w:tcMar>
            <w:vAlign w:val="center"/>
          </w:tcPr>
          <w:p>
            <w:pPr>
              <w:spacing w:after="40"/>
            </w:pPr>
            <w:r>
              <w:rPr>
                <w:sz w:val="20"/>
                <w:szCs w:val="20"/>
              </w:rPr>
              <w:t xml:space="preserve">102名（2016年52名から倍増）</w:t>
            </w:r>
          </w:p>
        </w:tc>
        <w:tc>
          <w:tcPr>
            <w:tcW w:type="dxa" w:w="3000"/>
            <w:shd w:fill="EAF1F8" w:val="clear"/>
            <w:tcMar>
              <w:top w:type="dxa" w:w="60"/>
              <w:left w:type="dxa" w:w="100"/>
              <w:bottom w:type="dxa" w:w="60"/>
              <w:right w:type="dxa" w:w="100"/>
            </w:tcMar>
            <w:vAlign w:val="center"/>
          </w:tcPr>
          <w:p>
            <w:pPr>
              <w:spacing w:after="40"/>
            </w:pPr>
            <w:r>
              <w:rPr>
                <w:sz w:val="20"/>
                <w:szCs w:val="20"/>
              </w:rPr>
              <w:t xml:space="preserve">2024年4月1日時点</w:t>
            </w:r>
          </w:p>
        </w:tc>
      </w:tr>
      <w:tr>
        <w:tc>
          <w:tcPr>
            <w:tcW w:type="dxa" w:w="3600"/>
            <w:shd w:fill="FFFFFF" w:val="clear"/>
            <w:tcMar>
              <w:top w:type="dxa" w:w="60"/>
              <w:left w:type="dxa" w:w="100"/>
              <w:bottom w:type="dxa" w:w="60"/>
              <w:right w:type="dxa" w:w="100"/>
            </w:tcMar>
            <w:vAlign w:val="center"/>
          </w:tcPr>
          <w:p>
            <w:pPr>
              <w:spacing w:after="40"/>
            </w:pPr>
            <w:r>
              <w:rPr>
                <w:sz w:val="20"/>
                <w:szCs w:val="20"/>
              </w:rPr>
              <w:t xml:space="preserve">育児休業復職率</w:t>
            </w:r>
          </w:p>
        </w:tc>
        <w:tc>
          <w:tcPr>
            <w:tcW w:type="dxa" w:w="3300"/>
            <w:shd w:fill="FFFFFF" w:val="clear"/>
            <w:tcMar>
              <w:top w:type="dxa" w:w="60"/>
              <w:left w:type="dxa" w:w="100"/>
              <w:bottom w:type="dxa" w:w="60"/>
              <w:right w:type="dxa" w:w="100"/>
            </w:tcMar>
            <w:vAlign w:val="center"/>
          </w:tcPr>
          <w:p>
            <w:pPr>
              <w:spacing w:after="40"/>
            </w:pPr>
            <w:r>
              <w:rPr>
                <w:sz w:val="20"/>
                <w:szCs w:val="20"/>
              </w:rPr>
              <w:t xml:space="preserve">99%</w:t>
            </w:r>
          </w:p>
        </w:tc>
        <w:tc>
          <w:tcPr>
            <w:tcW w:type="dxa" w:w="3000"/>
            <w:shd w:fill="FFFFFF" w:val="clear"/>
            <w:tcMar>
              <w:top w:type="dxa" w:w="60"/>
              <w:left w:type="dxa" w:w="100"/>
              <w:bottom w:type="dxa" w:w="60"/>
              <w:right w:type="dxa" w:w="100"/>
            </w:tcMar>
            <w:vAlign w:val="center"/>
          </w:tcPr>
          <w:p>
            <w:pPr>
              <w:spacing w:after="40"/>
            </w:pPr>
            <w:r>
              <w:rPr>
                <w:sz w:val="20"/>
                <w:szCs w:val="20"/>
              </w:rPr>
              <w:t xml:space="preserve">2024年度</w:t>
            </w:r>
          </w:p>
        </w:tc>
      </w:tr>
      <w:tr>
        <w:tc>
          <w:tcPr>
            <w:tcW w:type="dxa" w:w="3600"/>
            <w:shd w:fill="EAF1F8" w:val="clear"/>
            <w:tcMar>
              <w:top w:type="dxa" w:w="60"/>
              <w:left w:type="dxa" w:w="100"/>
              <w:bottom w:type="dxa" w:w="60"/>
              <w:right w:type="dxa" w:w="100"/>
            </w:tcMar>
            <w:vAlign w:val="center"/>
          </w:tcPr>
          <w:p>
            <w:pPr>
              <w:spacing w:after="40"/>
            </w:pPr>
            <w:r>
              <w:rPr>
                <w:sz w:val="20"/>
                <w:szCs w:val="20"/>
              </w:rPr>
              <w:t xml:space="preserve">育児休業定着率</w:t>
            </w:r>
          </w:p>
        </w:tc>
        <w:tc>
          <w:tcPr>
            <w:tcW w:type="dxa" w:w="3300"/>
            <w:shd w:fill="EAF1F8" w:val="clear"/>
            <w:tcMar>
              <w:top w:type="dxa" w:w="60"/>
              <w:left w:type="dxa" w:w="100"/>
              <w:bottom w:type="dxa" w:w="60"/>
              <w:right w:type="dxa" w:w="100"/>
            </w:tcMar>
            <w:vAlign w:val="center"/>
          </w:tcPr>
          <w:p>
            <w:pPr>
              <w:spacing w:after="40"/>
            </w:pPr>
            <w:r>
              <w:rPr>
                <w:sz w:val="20"/>
                <w:szCs w:val="20"/>
              </w:rPr>
              <w:t xml:space="preserve">95.9%</w:t>
            </w:r>
          </w:p>
        </w:tc>
        <w:tc>
          <w:tcPr>
            <w:tcW w:type="dxa" w:w="3000"/>
            <w:shd w:fill="EAF1F8" w:val="clear"/>
            <w:tcMar>
              <w:top w:type="dxa" w:w="60"/>
              <w:left w:type="dxa" w:w="100"/>
              <w:bottom w:type="dxa" w:w="60"/>
              <w:right w:type="dxa" w:w="100"/>
            </w:tcMar>
            <w:vAlign w:val="center"/>
          </w:tcPr>
          <w:p>
            <w:pPr>
              <w:spacing w:after="40"/>
            </w:pPr>
            <w:r>
              <w:rPr>
                <w:sz w:val="20"/>
                <w:szCs w:val="20"/>
              </w:rPr>
              <w:t xml:space="preserve">2024年度</w:t>
            </w:r>
          </w:p>
        </w:tc>
      </w:tr>
      <w:tr>
        <w:tc>
          <w:tcPr>
            <w:tcW w:type="dxa" w:w="3600"/>
            <w:shd w:fill="FFFFFF" w:val="clear"/>
            <w:tcMar>
              <w:top w:type="dxa" w:w="60"/>
              <w:left w:type="dxa" w:w="100"/>
              <w:bottom w:type="dxa" w:w="60"/>
              <w:right w:type="dxa" w:w="100"/>
            </w:tcMar>
            <w:vAlign w:val="center"/>
          </w:tcPr>
          <w:p>
            <w:pPr>
              <w:spacing w:after="40"/>
            </w:pPr>
            <w:r>
              <w:rPr>
                <w:sz w:val="20"/>
                <w:szCs w:val="20"/>
              </w:rPr>
              <w:t xml:space="preserve">育児休業取得率（男性）</w:t>
            </w:r>
          </w:p>
        </w:tc>
        <w:tc>
          <w:tcPr>
            <w:tcW w:type="dxa" w:w="3300"/>
            <w:shd w:fill="FFFFFF" w:val="clear"/>
            <w:tcMar>
              <w:top w:type="dxa" w:w="60"/>
              <w:left w:type="dxa" w:w="100"/>
              <w:bottom w:type="dxa" w:w="60"/>
              <w:right w:type="dxa" w:w="100"/>
            </w:tcMar>
            <w:vAlign w:val="center"/>
          </w:tcPr>
          <w:p>
            <w:pPr>
              <w:spacing w:after="40"/>
            </w:pPr>
            <w:r>
              <w:rPr>
                <w:sz w:val="20"/>
                <w:szCs w:val="20"/>
              </w:rPr>
              <w:t xml:space="preserve">68.9%</w:t>
            </w:r>
          </w:p>
        </w:tc>
        <w:tc>
          <w:tcPr>
            <w:tcW w:type="dxa" w:w="3000"/>
            <w:shd w:fill="FFFFFF" w:val="clear"/>
            <w:tcMar>
              <w:top w:type="dxa" w:w="60"/>
              <w:left w:type="dxa" w:w="100"/>
              <w:bottom w:type="dxa" w:w="60"/>
              <w:right w:type="dxa" w:w="100"/>
            </w:tcMar>
            <w:vAlign w:val="center"/>
          </w:tcPr>
          <w:p>
            <w:pPr>
              <w:spacing w:after="40"/>
            </w:pPr>
            <w:r>
              <w:rPr>
                <w:sz w:val="20"/>
                <w:szCs w:val="20"/>
              </w:rPr>
              <w:t xml:space="preserve">2024年度</w:t>
            </w:r>
          </w:p>
        </w:tc>
      </w:tr>
      <w:tr>
        <w:tc>
          <w:tcPr>
            <w:tcW w:type="dxa" w:w="3600"/>
            <w:shd w:fill="EAF1F8" w:val="clear"/>
            <w:tcMar>
              <w:top w:type="dxa" w:w="60"/>
              <w:left w:type="dxa" w:w="100"/>
              <w:bottom w:type="dxa" w:w="60"/>
              <w:right w:type="dxa" w:w="100"/>
            </w:tcMar>
            <w:vAlign w:val="center"/>
          </w:tcPr>
          <w:p>
            <w:pPr>
              <w:spacing w:after="40"/>
            </w:pPr>
            <w:r>
              <w:rPr>
                <w:sz w:val="20"/>
                <w:szCs w:val="20"/>
              </w:rPr>
              <w:t xml:space="preserve">エンゲージメントスコア「職場において個人として尊重されている」</w:t>
            </w:r>
          </w:p>
        </w:tc>
        <w:tc>
          <w:tcPr>
            <w:tcW w:type="dxa" w:w="3300"/>
            <w:shd w:fill="EAF1F8" w:val="clear"/>
            <w:tcMar>
              <w:top w:type="dxa" w:w="60"/>
              <w:left w:type="dxa" w:w="100"/>
              <w:bottom w:type="dxa" w:w="60"/>
              <w:right w:type="dxa" w:w="100"/>
            </w:tcMar>
            <w:vAlign w:val="center"/>
          </w:tcPr>
          <w:p>
            <w:pPr>
              <w:spacing w:after="40"/>
            </w:pPr>
            <w:r>
              <w:rPr>
                <w:sz w:val="20"/>
                <w:szCs w:val="20"/>
              </w:rPr>
              <w:t xml:space="preserve">82%</w:t>
            </w:r>
          </w:p>
        </w:tc>
        <w:tc>
          <w:tcPr>
            <w:tcW w:type="dxa" w:w="3000"/>
            <w:shd w:fill="EAF1F8" w:val="clear"/>
            <w:tcMar>
              <w:top w:type="dxa" w:w="60"/>
              <w:left w:type="dxa" w:w="100"/>
              <w:bottom w:type="dxa" w:w="60"/>
              <w:right w:type="dxa" w:w="100"/>
            </w:tcMar>
            <w:vAlign w:val="center"/>
          </w:tcPr>
          <w:p>
            <w:pPr>
              <w:spacing w:after="40"/>
            </w:pPr>
            <w:r>
              <w:rPr>
                <w:sz w:val="20"/>
                <w:szCs w:val="20"/>
              </w:rPr>
              <w:t xml:space="preserve">2024年度</w:t>
            </w:r>
          </w:p>
        </w:tc>
      </w:tr>
    </w:tbl>
    <w:p>
      <w:pPr>
        <w:spacing w:after="120"/>
      </w:pPr>
    </w:p>
    <w:p>
      <w:pPr>
        <w:spacing w:after="120" w:line="300"/>
      </w:pPr>
      <w:r>
        <w:rPr>
          <w:sz w:val="21"/>
          <w:szCs w:val="21"/>
        </w:rPr>
        <w:t xml:space="preserve">外部認定：女性活躍推進法「えるぼし認定」、次世代認定マーク「プラチナくるみん」、任意団体work with Prideが策定する「PRIDE指標2025」ゴールド認定（LGBTなど性的マイノリティへの取り組み）。</w:t>
      </w:r>
    </w:p>
    <w:p>
      <w:pPr>
        <w:pStyle w:val="Heading2"/>
        <w:spacing w:after="120" w:before="300"/>
      </w:pPr>
      <w:r>
        <w:rPr>
          <w:b/>
          <w:bCs/>
          <w:color w:val="0B3B6B"/>
          <w:sz w:val="24"/>
          <w:szCs w:val="24"/>
        </w:rPr>
        <w:t xml:space="preserve">キャリア開発・人材育成</w:t>
      </w:r>
    </w:p>
    <w:p>
      <w:pPr>
        <w:pStyle w:val="ListParagraph"/>
        <w:numPr>
          <w:ilvl w:val="0"/>
          <w:numId w:val="2"/>
        </w:numPr>
        <w:spacing w:after="80" w:line="280"/>
      </w:pPr>
      <w:r>
        <w:rPr>
          <w:sz w:val="21"/>
          <w:szCs w:val="21"/>
        </w:rPr>
        <w:t xml:space="preserve">研修体系：管理職／上級職・中堅・若手の各ステージ別に、キャリアデザイン・グローバルスキル・エンジニア/ITスキル・ビジネススキル等の研修を必須／選抜／選択で提供（FY25全社研修体系）</w:t>
      </w:r>
    </w:p>
    <w:p>
      <w:pPr>
        <w:pStyle w:val="ListParagraph"/>
        <w:numPr>
          <w:ilvl w:val="0"/>
          <w:numId w:val="2"/>
        </w:numPr>
        <w:spacing w:after="80" w:line="280"/>
      </w:pPr>
      <w:r>
        <w:rPr>
          <w:sz w:val="21"/>
          <w:szCs w:val="21"/>
        </w:rPr>
        <w:t xml:space="preserve">資格取得報奨金制度：会社が指定した上級資格以上となる135資格の取得を対象に報奨金を支給</w:t>
      </w:r>
    </w:p>
    <w:p>
      <w:pPr>
        <w:pStyle w:val="ListParagraph"/>
        <w:numPr>
          <w:ilvl w:val="0"/>
          <w:numId w:val="2"/>
        </w:numPr>
        <w:spacing w:after="80" w:line="280"/>
      </w:pPr>
      <w:r>
        <w:rPr>
          <w:sz w:val="21"/>
          <w:szCs w:val="21"/>
        </w:rPr>
        <w:t xml:space="preserve">研修投資：1人あたり研修費用（会社負担）年25万円、1人あたり平均研修時間 年104時間（2024年度）</w:t>
      </w:r>
    </w:p>
    <w:p>
      <w:pPr>
        <w:pStyle w:val="ListParagraph"/>
        <w:numPr>
          <w:ilvl w:val="0"/>
          <w:numId w:val="2"/>
        </w:numPr>
        <w:spacing w:after="80" w:line="280"/>
      </w:pPr>
      <w:r>
        <w:rPr>
          <w:sz w:val="21"/>
          <w:szCs w:val="21"/>
        </w:rPr>
        <w:t xml:space="preserve">キャリア形成支援：社内公募制度、上司と部下の継続的な1on1、キャリアコンサルティング、多彩な実力主義（スペシャリスト職・飛び級の特進制度）、キャリア・スポンサーシップ・プログラム（女性管理職や管理職候補者のキャリアを支援）、学びの場プラットフォーム（社内エンジニア職種を17カテゴリ37種類に分類しキャリアパスを提示）</w:t>
      </w:r>
    </w:p>
    <w:p>
      <w:pPr>
        <w:pStyle w:val="ListParagraph"/>
        <w:numPr>
          <w:ilvl w:val="0"/>
          <w:numId w:val="2"/>
        </w:numPr>
        <w:spacing w:after="80" w:line="280"/>
      </w:pPr>
      <w:r>
        <w:rPr>
          <w:sz w:val="21"/>
          <w:szCs w:val="21"/>
        </w:rPr>
        <w:t xml:space="preserve">柔軟な働き方：テレワーク、スライドワーク、年次有給休暇の取得促進、出張時の滞在延長（ブリージャー）、長期休業制度（サバティカル休暇）</w:t>
      </w:r>
    </w:p>
    <w:p>
      <w:pPr>
        <w:pStyle w:val="Heading1"/>
        <w:pBdr>
          <w:bottom w:val="single" w:color="0B3B6B" w:sz="8" w:space="4"/>
        </w:pBdr>
        <w:spacing w:after="200" w:before="400"/>
      </w:pPr>
      <w:r>
        <w:rPr>
          <w:b/>
          <w:bCs/>
          <w:color w:val="0B3B6B"/>
          <w:sz w:val="30"/>
          <w:szCs w:val="30"/>
        </w:rPr>
        <w:t xml:space="preserve">11. 社員インタビューから見る社風</w:t>
      </w:r>
    </w:p>
    <w:p>
      <w:pPr>
        <w:spacing w:after="120" w:line="300"/>
      </w:pPr>
      <w:r>
        <w:rPr>
          <w:sz w:val="21"/>
          <w:szCs w:val="21"/>
        </w:rPr>
        <w:t xml:space="preserve">Corporate Book掲載のエンジニア座談会・営業対談・各拠点インタビューから読み取れる、CTCの働き方・社風のポイント。</w:t>
      </w:r>
    </w:p>
    <w:p>
      <w:pPr>
        <w:pStyle w:val="ListParagraph"/>
        <w:numPr>
          <w:ilvl w:val="0"/>
          <w:numId w:val="2"/>
        </w:numPr>
        <w:spacing w:after="80" w:line="280"/>
      </w:pPr>
      <w:r>
        <w:rPr>
          <w:sz w:val="21"/>
          <w:szCs w:val="21"/>
        </w:rPr>
        <w:t xml:space="preserve">「挑戦を後押しする自由な風土」：自ら手を挙げれば挑戦させてもらえる社風。社内公募制度を活用して希望の組織へ異動し、新しい領域に挑戦する社員が多い（エンジニア座談会より）</w:t>
      </w:r>
    </w:p>
    <w:p>
      <w:pPr>
        <w:pStyle w:val="ListParagraph"/>
        <w:numPr>
          <w:ilvl w:val="0"/>
          <w:numId w:val="2"/>
        </w:numPr>
        <w:spacing w:after="80" w:line="280"/>
      </w:pPr>
      <w:r>
        <w:rPr>
          <w:sz w:val="21"/>
          <w:szCs w:val="21"/>
        </w:rPr>
        <w:t xml:space="preserve">スペシャリスト職とマネジメント職の両立：エンジニアのキャリアパスとして技術を極めるスペシャリスト職と、プロジェクトマネージャ（PM）等のマネジメント職の両方が用意されており、多様な製品・サービス知識を習得しながら複数部署と連携するキャリア形成が可能</w:t>
      </w:r>
    </w:p>
    <w:p>
      <w:pPr>
        <w:pStyle w:val="ListParagraph"/>
        <w:numPr>
          <w:ilvl w:val="0"/>
          <w:numId w:val="2"/>
        </w:numPr>
        <w:spacing w:after="80" w:line="280"/>
      </w:pPr>
      <w:r>
        <w:rPr>
          <w:sz w:val="21"/>
          <w:szCs w:val="21"/>
        </w:rPr>
        <w:t xml:space="preserve">「ONE TEAM」を体現する部署横断の交流：Dojo（部署横断の技術コミュニティ）などを通じ、自分の専門領域以外でも最新情報を得られる環境がある。他部署・他職種（技術・営業・コンサルティング）を越えたチームワークで大きな成果を生む文化</w:t>
      </w:r>
    </w:p>
    <w:p>
      <w:pPr>
        <w:pStyle w:val="ListParagraph"/>
        <w:numPr>
          <w:ilvl w:val="0"/>
          <w:numId w:val="2"/>
        </w:numPr>
        <w:spacing w:after="80" w:line="280"/>
      </w:pPr>
      <w:r>
        <w:rPr>
          <w:sz w:val="21"/>
          <w:szCs w:val="21"/>
        </w:rPr>
        <w:t xml:space="preserve">海外駐在・グローバルキャリアの機会：全職種を対象に海外勤務の希望が叶えられる制度があり、インドネシア・タイ・マレーシア・シンガポール・アメリカなど海外現地法人での勤務機会がある（若手のうちから裁量ある仕事を任される事例あり）</w:t>
      </w:r>
    </w:p>
    <w:p>
      <w:pPr>
        <w:pStyle w:val="ListParagraph"/>
        <w:numPr>
          <w:ilvl w:val="0"/>
          <w:numId w:val="2"/>
        </w:numPr>
        <w:spacing w:after="80" w:line="280"/>
      </w:pPr>
      <w:r>
        <w:rPr>
          <w:sz w:val="21"/>
          <w:szCs w:val="21"/>
        </w:rPr>
        <w:t xml:space="preserve">地域拠点（名古屋等）ならではのやりがい：地域拠点では個人の裁量に任せられる範囲が広く、若手でも大きなプロジェクトに携わる機会や、お客様に寄り添いながら成長できる環境があるとの声</w:t>
      </w:r>
    </w:p>
    <w:p>
      <w:pPr>
        <w:pStyle w:val="ListParagraph"/>
        <w:numPr>
          <w:ilvl w:val="0"/>
          <w:numId w:val="2"/>
        </w:numPr>
        <w:spacing w:after="80" w:line="280"/>
      </w:pPr>
      <w:r>
        <w:rPr>
          <w:sz w:val="21"/>
          <w:szCs w:val="21"/>
        </w:rPr>
        <w:t xml:space="preserve">文系・理系を問わない活躍：営業・エンジニアともに文系学部出身者が多く活躍しており、入社後の研修・OJT・メンター制度が手厚いため、未経験からのキャリアチェンジも支援される</w:t>
      </w:r>
    </w:p>
    <w:p>
      <w:pPr>
        <w:pStyle w:val="Heading1"/>
        <w:pBdr>
          <w:bottom w:val="single" w:color="0B3B6B" w:sz="8" w:space="4"/>
        </w:pBdr>
        <w:spacing w:after="200" w:before="400"/>
      </w:pPr>
      <w:r>
        <w:rPr>
          <w:b/>
          <w:bCs/>
          <w:color w:val="0B3B6B"/>
          <w:sz w:val="30"/>
          <w:szCs w:val="30"/>
        </w:rPr>
        <w:t xml:space="preserve">12. インターンシップ選考の傾向</w:t>
      </w:r>
    </w:p>
    <w:p>
      <w:pPr>
        <w:spacing w:after="120" w:line="300"/>
      </w:pPr>
      <w:r>
        <w:rPr>
          <w:sz w:val="21"/>
          <w:szCs w:val="21"/>
        </w:rPr>
        <w:t xml:space="preserve">公開情報（就活口コミサイト等）に基づく、CTCのインターンシップの一般的な傾向。実際の選考内容は年度・コースにより変わるため、最新の募集要項・案内メールで必ず確認すること。</w:t>
      </w:r>
    </w:p>
    <w:p>
      <w:pPr>
        <w:pStyle w:val="ListParagraph"/>
        <w:numPr>
          <w:ilvl w:val="0"/>
          <w:numId w:val="2"/>
        </w:numPr>
        <w:spacing w:after="80" w:line="280"/>
      </w:pPr>
      <w:r>
        <w:rPr>
          <w:sz w:val="21"/>
          <w:szCs w:val="21"/>
        </w:rPr>
        <w:t xml:space="preserve">実施形式：東京での対面開催（例：数日間の日程）とオンライン開催（例：2日間）の両方が実施される年度がある</w:t>
      </w:r>
    </w:p>
    <w:p>
      <w:pPr>
        <w:pStyle w:val="ListParagraph"/>
        <w:numPr>
          <w:ilvl w:val="0"/>
          <w:numId w:val="2"/>
        </w:numPr>
        <w:spacing w:after="80" w:line="280"/>
      </w:pPr>
      <w:r>
        <w:rPr>
          <w:sz w:val="21"/>
          <w:szCs w:val="21"/>
        </w:rPr>
        <w:t xml:space="preserve">内容：CTCの実際のプロジェクトをモデルにしたグループワークを通じて、営業・エンジニア双方の業務の魅力とやりがいを理解する構成が中心</w:t>
      </w:r>
    </w:p>
    <w:p>
      <w:pPr>
        <w:pStyle w:val="ListParagraph"/>
        <w:numPr>
          <w:ilvl w:val="0"/>
          <w:numId w:val="2"/>
        </w:numPr>
        <w:spacing w:after="80" w:line="280"/>
      </w:pPr>
      <w:r>
        <w:rPr>
          <w:sz w:val="21"/>
          <w:szCs w:val="21"/>
        </w:rPr>
        <w:t xml:space="preserve">ES設問の例：「当社のインターンシップに参加したい理由、習得したいことをご記入ください」（300字以内）、「授業以外でプログラミングに取り組んだ経験がある方は具体的な内容をご記入ください」（150字以内、経験者のみ）</w:t>
      </w:r>
    </w:p>
    <w:p>
      <w:pPr>
        <w:pStyle w:val="ListParagraph"/>
        <w:numPr>
          <w:ilvl w:val="0"/>
          <w:numId w:val="2"/>
        </w:numPr>
        <w:spacing w:after="80" w:line="280"/>
      </w:pPr>
      <w:r>
        <w:rPr>
          <w:sz w:val="21"/>
          <w:szCs w:val="21"/>
        </w:rPr>
        <w:t xml:space="preserve">待遇：交通費・昼食が支給されるケースがある（対面開催の場合）</w:t>
      </w:r>
    </w:p>
    <w:p>
      <w:pPr>
        <w:spacing w:after="120"/>
      </w:pPr>
    </w:p>
    <w:p>
      <w:pPr>
        <w:spacing w:after="160"/>
      </w:pPr>
      <w:r>
        <w:rPr>
          <w:i/>
          <w:iCs/>
          <w:color w:val="595959"/>
          <w:sz w:val="18"/>
          <w:szCs w:val="18"/>
        </w:rPr>
        <w:t xml:space="preserve">※ 本章の内容は外部の就活情報サイトの記載に基づく参考情報であり、一次情報（CTC採用サイト、ES・案内メール）での確認を推奨。</w:t>
      </w:r>
    </w:p>
    <w:p>
      <w:pPr>
        <w:pStyle w:val="Heading1"/>
        <w:pBdr>
          <w:bottom w:val="single" w:color="0B3B6B" w:sz="8" w:space="4"/>
        </w:pBdr>
        <w:spacing w:after="200" w:before="400"/>
      </w:pPr>
      <w:r>
        <w:rPr>
          <w:b/>
          <w:bCs/>
          <w:color w:val="0B3B6B"/>
          <w:sz w:val="30"/>
          <w:szCs w:val="30"/>
        </w:rPr>
        <w:t xml:space="preserve">13. 企業理解のためのQA（想定問答）</w:t>
      </w:r>
    </w:p>
    <w:p>
      <w:pPr>
        <w:pStyle w:val="Heading3"/>
        <w:spacing w:after="100" w:before="200"/>
      </w:pPr>
      <w:r>
        <w:rPr>
          <w:b/>
          <w:bCs/>
          <w:color w:val="C8102E"/>
          <w:sz w:val="21"/>
          <w:szCs w:val="21"/>
        </w:rPr>
        <w:t xml:space="preserve">Q1. CTCはどのような会社か、一言で説明すると？</w:t>
      </w:r>
    </w:p>
    <w:p>
      <w:pPr>
        <w:spacing w:after="120" w:line="300"/>
      </w:pPr>
      <w:r>
        <w:rPr>
          <w:sz w:val="21"/>
          <w:szCs w:val="21"/>
        </w:rPr>
        <w:t xml:space="preserve">お客様のパートナーとなる総合ITサービス企業として、コンサルティングから設計・構築・開発・運用保守までをトータルに支援する独立系マルチベンダーSIer。特定メーカー系列に属さないため、300社超のグローバルパートナーの技術を中立的に組み合わせて最適な提案ができる点が特徴。</w:t>
      </w:r>
    </w:p>
    <w:p>
      <w:pPr>
        <w:pStyle w:val="Heading3"/>
        <w:spacing w:after="100" w:before="200"/>
      </w:pPr>
      <w:r>
        <w:rPr>
          <w:b/>
          <w:bCs/>
          <w:color w:val="C8102E"/>
          <w:sz w:val="21"/>
          <w:szCs w:val="21"/>
        </w:rPr>
        <w:t xml:space="preserve">Q2. CTCの企業理念「Challenging Tomorrow's Changes」に込められた思いは？</w:t>
      </w:r>
    </w:p>
    <w:p>
      <w:pPr>
        <w:spacing w:after="120" w:line="300"/>
      </w:pPr>
      <w:r>
        <w:rPr>
          <w:sz w:val="21"/>
          <w:szCs w:val="21"/>
        </w:rPr>
        <w:t xml:space="preserve">「変わっていく。挑んでいく。」というメッセージ。世界の変化とともにあり、技を磨きどんな困難にも挑戦していくことで、地球と社会とすべての人々の良い未来にテクノロジーで貢献する、という理念。2024年に社長に就任した新宮氏のもとでアップデートされた。</w:t>
      </w:r>
    </w:p>
    <w:p>
      <w:pPr>
        <w:pStyle w:val="Heading3"/>
        <w:spacing w:after="100" w:before="200"/>
      </w:pPr>
      <w:r>
        <w:rPr>
          <w:b/>
          <w:bCs/>
          <w:color w:val="C8102E"/>
          <w:sz w:val="21"/>
          <w:szCs w:val="21"/>
        </w:rPr>
        <w:t xml:space="preserve">Q3. なぜ伊藤忠商事はCTCを完全子会社化したのか？</w:t>
      </w:r>
    </w:p>
    <w:p>
      <w:pPr>
        <w:spacing w:after="120" w:line="300"/>
      </w:pPr>
      <w:r>
        <w:rPr>
          <w:sz w:val="21"/>
          <w:szCs w:val="21"/>
        </w:rPr>
        <w:t xml:space="preserve">2023年、伊藤忠商事は非資源分野の強化を目的に、最大3,876億円を投じるTOBを実施し、同年12月に上場廃止・完全子会社化した。CTC側としては、伊藤忠グループが持つ全方位の産業知見・サプライチェーン構築力・国内外ネットワークを活用できるようになり、AIや量子コンピューティング等の成長領域への投資機会、グループ内の大型プロジェクトへの参画機会が拡大するというメリットがある。</w:t>
      </w:r>
    </w:p>
    <w:p>
      <w:pPr>
        <w:pStyle w:val="Heading3"/>
        <w:spacing w:after="100" w:before="200"/>
      </w:pPr>
      <w:r>
        <w:rPr>
          <w:b/>
          <w:bCs/>
          <w:color w:val="C8102E"/>
          <w:sz w:val="21"/>
          <w:szCs w:val="21"/>
        </w:rPr>
        <w:t xml:space="preserve">Q4. 「SIer No.1グループ」という目標の意味は？</w:t>
      </w:r>
    </w:p>
    <w:p>
      <w:pPr>
        <w:spacing w:after="120" w:line="300"/>
      </w:pPr>
      <w:r>
        <w:rPr>
          <w:sz w:val="21"/>
          <w:szCs w:val="21"/>
        </w:rPr>
        <w:t xml:space="preserve">新宮社長が掲げる目標。CTCはこれまでインフラ構築やシステム保守運用の領域で高い評価を得てきたが、これからのSIerには企業の事業そのものに踏み込み、経営層とも対話しながらお客様が気づいていない本質的なニーズを見極め、投資効果の高いソリューションを提案する「提案力」が不可欠と位置づけ、その強化を進めている。</w:t>
      </w:r>
    </w:p>
    <w:p>
      <w:pPr>
        <w:pStyle w:val="Heading3"/>
        <w:spacing w:after="100" w:before="200"/>
      </w:pPr>
      <w:r>
        <w:rPr>
          <w:b/>
          <w:bCs/>
          <w:color w:val="C8102E"/>
          <w:sz w:val="21"/>
          <w:szCs w:val="21"/>
        </w:rPr>
        <w:t xml:space="preserve">Q5. CTCの強みを一言で説明すると？</w:t>
      </w:r>
    </w:p>
    <w:p>
      <w:pPr>
        <w:spacing w:after="120" w:line="300"/>
      </w:pPr>
      <w:r>
        <w:rPr>
          <w:sz w:val="21"/>
          <w:szCs w:val="21"/>
        </w:rPr>
        <w:t xml:space="preserve">300社を超えるグローバルパートナーの最先端テクノロジーを"掘り起こし"、日本の顧客環境に合わせて"組み合わせ"て"実装する"という「つなぎ組み合わせる力」。特定ベンダーに依存しない中立的な立場から、業界知見の深い5つの事業グループを通じて最適なソリューションを提案できる点。</w:t>
      </w:r>
    </w:p>
    <w:p>
      <w:pPr>
        <w:pStyle w:val="Heading3"/>
        <w:spacing w:after="100" w:before="200"/>
      </w:pPr>
      <w:r>
        <w:rPr>
          <w:b/>
          <w:bCs/>
          <w:color w:val="C8102E"/>
          <w:sz w:val="21"/>
          <w:szCs w:val="21"/>
        </w:rPr>
        <w:t xml:space="preserve">Q6. CTC UPDATEで紹介されている直近の技術トピックスは？</w:t>
      </w:r>
    </w:p>
    <w:p>
      <w:pPr>
        <w:spacing w:after="120" w:line="300"/>
      </w:pPr>
      <w:r>
        <w:rPr>
          <w:sz w:val="21"/>
          <w:szCs w:val="21"/>
        </w:rPr>
        <w:t xml:space="preserve">「高度AI」「データ＆アナリティクス」「クラウドネイティブ」「セキュリティ」の4領域をKey Technologyに位置づけ、生成AIを活用したシステム開発の自動化（AI駆動開発）、クラウドサービス「StageCrew™」の北米展開、次世代データセンター液冷ソリューション「cooliquid」、サイバーセキュリティ・リサーチ・センターの開設などに取り組んでいる。</w:t>
      </w:r>
    </w:p>
    <w:p>
      <w:pPr>
        <w:pStyle w:val="Heading3"/>
        <w:spacing w:after="100" w:before="200"/>
      </w:pPr>
      <w:r>
        <w:rPr>
          <w:b/>
          <w:bCs/>
          <w:color w:val="C8102E"/>
          <w:sz w:val="21"/>
          <w:szCs w:val="21"/>
        </w:rPr>
        <w:t xml:space="preserve">Q7. CTCの技術レイヤーの考え方とは？</w:t>
      </w:r>
    </w:p>
    <w:p>
      <w:pPr>
        <w:spacing w:after="120" w:line="300"/>
      </w:pPr>
      <w:r>
        <w:rPr>
          <w:sz w:val="21"/>
          <w:szCs w:val="21"/>
        </w:rPr>
        <w:t xml:space="preserve">データセンター・サーバ・ストレージからアプリケーション開発・運用保守まで幅広い技術レイヤーに対応し、各レイヤーでコンサルティングから構築・開発・運用までをワンストップで提供する体制。加えてAI・データ＆アナリティクス・クラウドネイティブ・セキュリティといった先端技術を組み合わせ、最適なソリューションとして提供している。</w:t>
      </w:r>
    </w:p>
    <w:p>
      <w:pPr>
        <w:pStyle w:val="Heading3"/>
        <w:spacing w:after="100" w:before="200"/>
      </w:pPr>
      <w:r>
        <w:rPr>
          <w:b/>
          <w:bCs/>
          <w:color w:val="C8102E"/>
          <w:sz w:val="21"/>
          <w:szCs w:val="21"/>
        </w:rPr>
        <w:t xml:space="preserve">Q8. 科学システム本部とは？</w:t>
      </w:r>
    </w:p>
    <w:p>
      <w:pPr>
        <w:spacing w:after="120" w:line="300"/>
      </w:pPr>
      <w:r>
        <w:rPr>
          <w:sz w:val="21"/>
          <w:szCs w:val="21"/>
        </w:rPr>
        <w:t xml:space="preserve">SIer業界には珍しい、科学・工学系分野に特化した部門。資源・エネルギー、原子力・プラントなど、社会インフラを支える幅広い領域で科学・工学系のスキルを活かしながら課題解決に取り組む。創立以来、科学技術分野を強みとして培ってきた技術力が背景にある。</w:t>
      </w:r>
    </w:p>
    <w:p>
      <w:pPr>
        <w:pStyle w:val="Heading3"/>
        <w:spacing w:after="100" w:before="200"/>
      </w:pPr>
      <w:r>
        <w:rPr>
          <w:b/>
          <w:bCs/>
          <w:color w:val="C8102E"/>
          <w:sz w:val="21"/>
          <w:szCs w:val="21"/>
        </w:rPr>
        <w:t xml:space="preserve">Q9. 直近の業績のポイントは？</w:t>
      </w:r>
    </w:p>
    <w:p>
      <w:pPr>
        <w:spacing w:after="120" w:line="300"/>
      </w:pPr>
      <w:r>
        <w:rPr>
          <w:sz w:val="21"/>
          <w:szCs w:val="21"/>
        </w:rPr>
        <w:t xml:space="preserve">2024年度の連結売上収益は7,282億円で過去最高を更新（前期比+12.5%）。売上総利益率25.8%・営業利益率9.3%と2期連続で改善。受注高7,638億円（前年度比+10%超）・受注残高4,790億円（同+8.0%）もいずれも過去最高。DX需要の拡大と付加価値の高い案件の獲得が要因。</w:t>
      </w:r>
    </w:p>
    <w:p>
      <w:pPr>
        <w:pStyle w:val="Heading3"/>
        <w:spacing w:after="100" w:before="200"/>
      </w:pPr>
      <w:r>
        <w:rPr>
          <w:b/>
          <w:bCs/>
          <w:color w:val="C8102E"/>
          <w:sz w:val="21"/>
          <w:szCs w:val="21"/>
        </w:rPr>
        <w:t xml:space="preserve">Q10. CTCが求める人材像は？</w:t>
      </w:r>
    </w:p>
    <w:p>
      <w:pPr>
        <w:spacing w:after="120" w:line="300"/>
      </w:pPr>
      <w:r>
        <w:rPr>
          <w:sz w:val="21"/>
          <w:szCs w:val="21"/>
        </w:rPr>
        <w:t xml:space="preserve">変化や失敗を恐れず一歩前へ踏み出せる人、前例よりも挑戦を選ぶ人。与えられた課題を正確にこなすだけでなく、自ら思考を巡らせ新しい答えや価値を生み出す「主体性」と「創造性」を持つ人材を求めている（新宮社長メッセージより）。</w:t>
      </w:r>
    </w:p>
    <w:p>
      <w:pPr>
        <w:pStyle w:val="Heading1"/>
        <w:pBdr>
          <w:bottom w:val="single" w:color="0B3B6B" w:sz="8" w:space="4"/>
        </w:pBdr>
        <w:spacing w:after="200" w:before="400"/>
      </w:pPr>
      <w:r>
        <w:rPr>
          <w:b/>
          <w:bCs/>
          <w:color w:val="0B3B6B"/>
          <w:sz w:val="30"/>
          <w:szCs w:val="30"/>
        </w:rPr>
        <w:t xml:space="preserve">14. 出典</w:t>
      </w:r>
    </w:p>
    <w:p>
      <w:pPr>
        <w:pStyle w:val="ListParagraph"/>
        <w:numPr>
          <w:ilvl w:val="0"/>
          <w:numId w:val="2"/>
        </w:numPr>
        <w:spacing w:after="80" w:line="280"/>
      </w:pPr>
      <w:r>
        <w:rPr>
          <w:sz w:val="21"/>
          <w:szCs w:val="21"/>
        </w:rPr>
        <w:t xml:space="preserve">伊藤忠テクノソリューションズ「Best Engine Corporate Book 2025-26」Vol.18（会社提供資料、PDF）</w:t>
      </w:r>
    </w:p>
    <w:p>
      <w:pPr>
        <w:pStyle w:val="ListParagraph"/>
        <w:numPr>
          <w:ilvl w:val="0"/>
          <w:numId w:val="2"/>
        </w:numPr>
        <w:spacing w:after="80" w:line="280"/>
      </w:pPr>
      <w:r>
        <w:rPr>
          <w:sz w:val="21"/>
          <w:szCs w:val="21"/>
        </w:rPr>
        <w:t xml:space="preserve">日本M&amp;Aセンター「伊藤忠、伊藤忠テクノソリューションズ（CTC）をTOBで非上場化へ」 https://www.nihon-ma.co.jp/news/20230802_8001-59/</w:t>
      </w:r>
    </w:p>
    <w:p>
      <w:pPr>
        <w:pStyle w:val="ListParagraph"/>
        <w:numPr>
          <w:ilvl w:val="0"/>
          <w:numId w:val="2"/>
        </w:numPr>
        <w:spacing w:after="80" w:line="280"/>
      </w:pPr>
      <w:r>
        <w:rPr>
          <w:sz w:val="21"/>
          <w:szCs w:val="21"/>
        </w:rPr>
        <w:t xml:space="preserve">日本経済新聞「伊藤忠、CTCを完全子会社に　非資源を強化へ3870億円で」 https://www.nikkei.com/article/DGXZQOUC0273K0S3A800C2000000/</w:t>
      </w:r>
    </w:p>
    <w:p>
      <w:pPr>
        <w:pStyle w:val="ListParagraph"/>
        <w:numPr>
          <w:ilvl w:val="0"/>
          <w:numId w:val="2"/>
        </w:numPr>
        <w:spacing w:after="80" w:line="280"/>
      </w:pPr>
      <w:r>
        <w:rPr>
          <w:sz w:val="21"/>
          <w:szCs w:val="21"/>
        </w:rPr>
        <w:t xml:space="preserve">日本経済新聞「伊藤忠商事、CTCへのTOB成立　非資源を強化」 https://www.nikkei.com/article/DGXZQOUC151NG0V10C23A9000000/</w:t>
      </w:r>
    </w:p>
    <w:p>
      <w:pPr>
        <w:pStyle w:val="ListParagraph"/>
        <w:numPr>
          <w:ilvl w:val="0"/>
          <w:numId w:val="2"/>
        </w:numPr>
        <w:spacing w:after="80" w:line="280"/>
      </w:pPr>
      <w:r>
        <w:rPr>
          <w:sz w:val="21"/>
          <w:szCs w:val="21"/>
        </w:rPr>
        <w:t xml:space="preserve">東洋経済オンライン「伊藤忠がCTCに『3800億円の巨額投資』をする事情」 https://toyokeizai.net/articles/-/692943</w:t>
      </w:r>
    </w:p>
    <w:p>
      <w:pPr>
        <w:pStyle w:val="ListParagraph"/>
        <w:numPr>
          <w:ilvl w:val="0"/>
          <w:numId w:val="2"/>
        </w:numPr>
        <w:spacing w:after="80" w:line="280"/>
      </w:pPr>
      <w:r>
        <w:rPr>
          <w:sz w:val="21"/>
          <w:szCs w:val="21"/>
        </w:rPr>
        <w:t xml:space="preserve">Wikipedia「伊藤忠テクノソリューションズ」</w:t>
      </w:r>
    </w:p>
    <w:p>
      <w:pPr>
        <w:pStyle w:val="ListParagraph"/>
        <w:numPr>
          <w:ilvl w:val="0"/>
          <w:numId w:val="2"/>
        </w:numPr>
        <w:spacing w:after="80" w:line="280"/>
      </w:pPr>
      <w:r>
        <w:rPr>
          <w:sz w:val="21"/>
          <w:szCs w:val="21"/>
        </w:rPr>
        <w:t xml:space="preserve">みん就（日経HR）「伊藤忠テクノソリューションズ（CTC）の秋冬インターン体験記」等インターン選考体験記</w:t>
      </w:r>
    </w:p>
    <w:p>
      <w:pPr>
        <w:pStyle w:val="ListParagraph"/>
        <w:numPr>
          <w:ilvl w:val="0"/>
          <w:numId w:val="2"/>
        </w:numPr>
        <w:spacing w:after="80" w:line="280"/>
      </w:pPr>
      <w:r>
        <w:rPr>
          <w:sz w:val="21"/>
          <w:szCs w:val="21"/>
        </w:rPr>
        <w:t xml:space="preserve">ワンキャリア／unistyle「伊藤忠テクノソリューションズ ES・選考体験記」</w:t>
      </w:r>
    </w:p>
    <w:p>
      <w:pPr>
        <w:spacing w:after="120"/>
      </w:pPr>
    </w:p>
    <w:p>
      <w:pPr>
        <w:spacing w:after="160"/>
      </w:pPr>
      <w:r>
        <w:rPr>
          <w:i/>
          <w:iCs/>
          <w:color w:val="595959"/>
          <w:sz w:val="18"/>
          <w:szCs w:val="18"/>
        </w:rPr>
        <w:t xml:space="preserve">※ 会社提供資料以外の出典は公開のWeb情報に基づく。数値や制度内容は変更される場合があるため、面接直前には公式採用サイトで最新情報を確認すること。</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2026-08-20T22:11:09.145Z</dcterms:created>
  <dcterms:modified xsi:type="dcterms:W3CDTF">2026-08-20T22:11:09.158Z</dcterms:modified>
</cp:coreProperties>
</file>

<file path=docProps/custom.xml><?xml version="1.0" encoding="utf-8"?>
<Properties xmlns="http://schemas.openxmlformats.org/officeDocument/2006/custom-properties" xmlns:vt="http://schemas.openxmlformats.org/officeDocument/2006/docPropsVTypes"/>
</file>